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3F" w:rsidRDefault="000F6513"/>
    <w:p w:rsidR="000F6513" w:rsidRPr="000F6513" w:rsidRDefault="000F6513" w:rsidP="000F65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F65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ГОСТ </w:t>
      </w:r>
      <w:proofErr w:type="gramStart"/>
      <w:r w:rsidRPr="000F65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proofErr w:type="gramEnd"/>
      <w:r w:rsidRPr="000F65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50571.7.702-2013/МЭК 60364-7-702:2010 Электроустановки низковольтные. Часть 7. Требования к специальным установкам или местам их размещения. Раздел 702. Плавательные бассейны и фонтаны</w:t>
      </w:r>
    </w:p>
    <w:p w:rsidR="000F6513" w:rsidRDefault="000F6513" w:rsidP="000F6513">
      <w:pPr>
        <w:pStyle w:val="formattext"/>
        <w:spacing w:after="240" w:afterAutospacing="0"/>
        <w:jc w:val="right"/>
      </w:pPr>
      <w:r>
        <w:t xml:space="preserve">ГОСТ </w:t>
      </w:r>
      <w:proofErr w:type="gramStart"/>
      <w:r>
        <w:t>Р</w:t>
      </w:r>
      <w:proofErr w:type="gramEnd"/>
      <w:r>
        <w:t xml:space="preserve"> 50571.7.702-2013/</w:t>
      </w:r>
      <w:r>
        <w:br/>
        <w:t>МЭК 60364-7-702:2010</w:t>
      </w:r>
      <w:r>
        <w:br/>
      </w:r>
      <w:r>
        <w:br/>
        <w:t>Группа Е71</w:t>
      </w:r>
    </w:p>
    <w:p w:rsidR="000F6513" w:rsidRDefault="000F6513" w:rsidP="000F6513">
      <w:pPr>
        <w:pStyle w:val="headertext"/>
        <w:jc w:val="center"/>
      </w:pPr>
      <w:r>
        <w:t>НАЦИОНАЛЬНЫЙ СТАНДАРТ РОССИЙСКОЙ ФЕДЕРАЦИИ</w:t>
      </w:r>
    </w:p>
    <w:p w:rsidR="000F6513" w:rsidRDefault="000F6513" w:rsidP="000F6513">
      <w:pPr>
        <w:pStyle w:val="headertext"/>
        <w:jc w:val="center"/>
      </w:pPr>
      <w:r>
        <w:t>ЭЛЕКТРОУСТАНОВКИ НИЗКОВОЛЬТНЫЕ</w:t>
      </w:r>
    </w:p>
    <w:p w:rsidR="000F6513" w:rsidRDefault="000F6513" w:rsidP="000F6513">
      <w:pPr>
        <w:pStyle w:val="headertext"/>
        <w:jc w:val="center"/>
      </w:pPr>
      <w:r>
        <w:t>Часть 7</w:t>
      </w:r>
    </w:p>
    <w:p w:rsidR="000F6513" w:rsidRDefault="000F6513" w:rsidP="000F6513">
      <w:pPr>
        <w:pStyle w:val="headertext"/>
        <w:jc w:val="center"/>
      </w:pPr>
      <w:r>
        <w:t>Требования к специальным установкам или местам их размещения</w:t>
      </w:r>
    </w:p>
    <w:p w:rsidR="000F6513" w:rsidRPr="000F6513" w:rsidRDefault="000F6513" w:rsidP="000F6513">
      <w:pPr>
        <w:pStyle w:val="headertext"/>
        <w:jc w:val="center"/>
        <w:rPr>
          <w:lang w:val="en-US"/>
        </w:rPr>
      </w:pPr>
      <w:r>
        <w:t>Раздел</w:t>
      </w:r>
      <w:r w:rsidRPr="000F6513">
        <w:rPr>
          <w:lang w:val="en-US"/>
        </w:rPr>
        <w:t xml:space="preserve"> 702</w:t>
      </w:r>
    </w:p>
    <w:p w:rsidR="000F6513" w:rsidRPr="000F6513" w:rsidRDefault="000F6513" w:rsidP="000F6513">
      <w:pPr>
        <w:pStyle w:val="headertext"/>
        <w:jc w:val="center"/>
        <w:rPr>
          <w:lang w:val="en-US"/>
        </w:rPr>
      </w:pPr>
      <w:r>
        <w:t>Плавательные</w:t>
      </w:r>
      <w:r w:rsidRPr="000F6513">
        <w:rPr>
          <w:lang w:val="en-US"/>
        </w:rPr>
        <w:t xml:space="preserve"> </w:t>
      </w:r>
      <w:r>
        <w:t>бассейны</w:t>
      </w:r>
      <w:r w:rsidRPr="000F6513">
        <w:rPr>
          <w:lang w:val="en-US"/>
        </w:rPr>
        <w:t xml:space="preserve"> </w:t>
      </w:r>
      <w:r>
        <w:t>и</w:t>
      </w:r>
      <w:r w:rsidRPr="000F6513">
        <w:rPr>
          <w:lang w:val="en-US"/>
        </w:rPr>
        <w:t xml:space="preserve"> </w:t>
      </w:r>
      <w:r>
        <w:t>фонтаны</w:t>
      </w:r>
    </w:p>
    <w:p w:rsidR="000F6513" w:rsidRDefault="000F6513" w:rsidP="000F6513">
      <w:pPr>
        <w:pStyle w:val="headertext"/>
        <w:jc w:val="center"/>
      </w:pPr>
      <w:r w:rsidRPr="000F6513">
        <w:rPr>
          <w:lang w:val="en-US"/>
        </w:rPr>
        <w:t xml:space="preserve">Low-voltage electrical installations. Part 7. </w:t>
      </w:r>
      <w:proofErr w:type="gramStart"/>
      <w:r w:rsidRPr="000F6513">
        <w:rPr>
          <w:lang w:val="en-US"/>
        </w:rPr>
        <w:t>Requirements for special installations or locations.</w:t>
      </w:r>
      <w:proofErr w:type="gramEnd"/>
      <w:r w:rsidRPr="000F6513">
        <w:rPr>
          <w:lang w:val="en-US"/>
        </w:rPr>
        <w:t xml:space="preserve"> </w:t>
      </w:r>
      <w:proofErr w:type="spellStart"/>
      <w:r>
        <w:t>Section</w:t>
      </w:r>
      <w:proofErr w:type="spellEnd"/>
      <w:r>
        <w:t xml:space="preserve"> 702. </w:t>
      </w:r>
      <w:proofErr w:type="spellStart"/>
      <w:r>
        <w:t>Swimming</w:t>
      </w:r>
      <w:proofErr w:type="spellEnd"/>
      <w:r>
        <w:t xml:space="preserve"> </w:t>
      </w:r>
      <w:proofErr w:type="spellStart"/>
      <w:r>
        <w:t>pools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fountains</w:t>
      </w:r>
      <w:proofErr w:type="spellEnd"/>
    </w:p>
    <w:p w:rsidR="000F6513" w:rsidRDefault="000F6513" w:rsidP="000F6513">
      <w:pPr>
        <w:pStyle w:val="formattext"/>
      </w:pPr>
      <w:r>
        <w:t>ОКС 29.020</w:t>
      </w:r>
      <w:r>
        <w:br/>
        <w:t>91.140.50</w:t>
      </w:r>
      <w:r>
        <w:br/>
        <w:t xml:space="preserve">ОКП 34 6400 </w:t>
      </w:r>
    </w:p>
    <w:p w:rsidR="000F6513" w:rsidRDefault="000F6513" w:rsidP="000F6513">
      <w:pPr>
        <w:pStyle w:val="formattext"/>
        <w:spacing w:after="240" w:afterAutospacing="0"/>
        <w:jc w:val="right"/>
      </w:pPr>
      <w:r>
        <w:t>Дата введения 2015-01-01</w:t>
      </w:r>
    </w:p>
    <w:p w:rsidR="000F6513" w:rsidRDefault="000F6513" w:rsidP="000F6513">
      <w:pPr>
        <w:pStyle w:val="headertext"/>
        <w:jc w:val="center"/>
      </w:pPr>
      <w:r>
        <w:t>Предисловие</w:t>
      </w:r>
    </w:p>
    <w:p w:rsidR="000F6513" w:rsidRDefault="000F6513" w:rsidP="000F6513">
      <w:pPr>
        <w:pStyle w:val="formattext"/>
      </w:pPr>
      <w:r>
        <w:t xml:space="preserve">1 ПОДГОТОВЛЕН Московским институтом </w:t>
      </w:r>
      <w:proofErr w:type="spellStart"/>
      <w:r>
        <w:t>энергобезопасности</w:t>
      </w:r>
      <w:proofErr w:type="spellEnd"/>
      <w:r>
        <w:t xml:space="preserve"> и энергосбережения на основе аутентичного перевода на русский язык международного стандарта, указанного в пункте 4</w:t>
      </w:r>
      <w:r>
        <w:br/>
      </w:r>
    </w:p>
    <w:p w:rsidR="000F6513" w:rsidRDefault="000F6513" w:rsidP="000F6513">
      <w:pPr>
        <w:pStyle w:val="formattext"/>
      </w:pPr>
      <w:r>
        <w:t xml:space="preserve">2 </w:t>
      </w:r>
      <w:proofErr w:type="gramStart"/>
      <w:r>
        <w:t>ВНЕСЕН</w:t>
      </w:r>
      <w:proofErr w:type="gramEnd"/>
      <w:r>
        <w:t xml:space="preserve"> Техническим комитетом по стандартизации ТК 337 "Электрические установки зданий"</w:t>
      </w:r>
      <w:r>
        <w:br/>
      </w:r>
    </w:p>
    <w:p w:rsidR="000F6513" w:rsidRDefault="000F6513" w:rsidP="000F6513">
      <w:pPr>
        <w:pStyle w:val="formattext"/>
      </w:pPr>
      <w:r>
        <w:t xml:space="preserve">3 УТВЕРЖДЕН И ВВЕДЕН В ДЕЙСТВИЕ </w:t>
      </w:r>
      <w:hyperlink r:id="rId4" w:history="1">
        <w:r>
          <w:rPr>
            <w:rStyle w:val="a3"/>
            <w:rFonts w:eastAsiaTheme="majorEastAsia"/>
          </w:rPr>
          <w:t>Приказом Федерального агентства по техническому регулированию и метрологии от 6 сентября 2013 г. N 978-ст</w:t>
        </w:r>
      </w:hyperlink>
      <w:r>
        <w:br/>
      </w:r>
    </w:p>
    <w:p w:rsidR="000F6513" w:rsidRDefault="000F6513" w:rsidP="000F6513">
      <w:pPr>
        <w:pStyle w:val="formattext"/>
      </w:pPr>
      <w:r>
        <w:t xml:space="preserve">4 Настоящий стандарт идентичен международному стандарту МЭК 60364-7-702:2010* "Установки электрические зданий. Часть 7-702. Требования к специальным установкам или местам их размещения: </w:t>
      </w:r>
      <w:proofErr w:type="gramStart"/>
      <w:r>
        <w:t>Плавательные бассейны и фонтаны" (IEC 60364-7-702:2010 "</w:t>
      </w:r>
      <w:proofErr w:type="spellStart"/>
      <w:r>
        <w:t>Low-voltage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- </w:t>
      </w:r>
      <w:proofErr w:type="spellStart"/>
      <w:r>
        <w:t>Part</w:t>
      </w:r>
      <w:proofErr w:type="spellEnd"/>
      <w:r>
        <w:t xml:space="preserve"> 7-702:</w:t>
      </w:r>
      <w:proofErr w:type="gramEnd"/>
      <w:r>
        <w:t xml:space="preserve"> </w:t>
      </w:r>
      <w:proofErr w:type="spellStart"/>
      <w:proofErr w:type="gram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installations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lastRenderedPageBreak/>
        <w:t>locations</w:t>
      </w:r>
      <w:proofErr w:type="spellEnd"/>
      <w:r>
        <w:t xml:space="preserve"> - </w:t>
      </w:r>
      <w:proofErr w:type="spellStart"/>
      <w:r>
        <w:t>Swimming</w:t>
      </w:r>
      <w:proofErr w:type="spellEnd"/>
      <w:r>
        <w:t xml:space="preserve"> </w:t>
      </w:r>
      <w:proofErr w:type="spellStart"/>
      <w:r>
        <w:t>pools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fountains</w:t>
      </w:r>
      <w:proofErr w:type="spellEnd"/>
      <w:r>
        <w:t>").</w:t>
      </w:r>
      <w:proofErr w:type="gramEnd"/>
      <w:r>
        <w:br/>
        <w:t>________________</w:t>
      </w:r>
      <w:r>
        <w:br/>
        <w:t xml:space="preserve">* Доступ к международным и зарубежным документам, упомянутым здесь и далее по тексту, можно </w:t>
      </w:r>
      <w:proofErr w:type="gramStart"/>
      <w:r>
        <w:t>получить</w:t>
      </w:r>
      <w:proofErr w:type="gramEnd"/>
      <w:r>
        <w:t xml:space="preserve"> перейдя по ссылке на сайт </w:t>
      </w:r>
      <w:hyperlink r:id="rId5" w:history="1">
        <w:r>
          <w:rPr>
            <w:rStyle w:val="a3"/>
            <w:rFonts w:eastAsiaTheme="majorEastAsia"/>
          </w:rPr>
          <w:t>http://shop.cntd.ru</w:t>
        </w:r>
      </w:hyperlink>
      <w:r>
        <w:t>. - Примечание изготовителя базы данных.</w:t>
      </w:r>
    </w:p>
    <w:p w:rsidR="000F6513" w:rsidRDefault="000F6513" w:rsidP="000F6513">
      <w:pPr>
        <w:pStyle w:val="formattext"/>
      </w:pPr>
      <w:r>
        <w:br/>
        <w:t>Наименование настоящего стандарта изменено относительно наименования указанного международного стандарта для приведения его в соответствие с вновь принятым наименованием серии стандартов МЭК 60364.</w:t>
      </w:r>
      <w:r>
        <w:br/>
      </w:r>
      <w:r>
        <w:br/>
        <w:t>При применении настоящего стандарта рекомендуется использовать вместо ссылочных международных стандартов соответствующие им национальные стандарты Российской Федерации, сведения о которых приведены в дополнительном приложении ДА</w:t>
      </w:r>
      <w:r>
        <w:br/>
      </w:r>
    </w:p>
    <w:p w:rsidR="000F6513" w:rsidRDefault="000F6513" w:rsidP="000F6513">
      <w:pPr>
        <w:pStyle w:val="formattext"/>
      </w:pPr>
      <w:r>
        <w:t>5 ВВЕДЕН ВПЕРВЫЕ</w:t>
      </w:r>
      <w:r>
        <w:br/>
      </w:r>
      <w:r>
        <w:br/>
      </w:r>
      <w:r>
        <w:br/>
      </w:r>
      <w:r>
        <w:rPr>
          <w:i/>
          <w:iCs/>
        </w:rPr>
        <w:t xml:space="preserve">Правила применения настоящего стандарта установлены в </w:t>
      </w:r>
      <w:hyperlink r:id="rId6" w:history="1">
        <w:r>
          <w:rPr>
            <w:rStyle w:val="a3"/>
            <w:rFonts w:eastAsiaTheme="majorEastAsia"/>
          </w:rPr>
          <w:t xml:space="preserve">ГОСТ </w:t>
        </w:r>
        <w:proofErr w:type="gramStart"/>
        <w:r>
          <w:rPr>
            <w:rStyle w:val="a3"/>
            <w:rFonts w:eastAsiaTheme="majorEastAsia"/>
          </w:rPr>
          <w:t>Р</w:t>
        </w:r>
        <w:proofErr w:type="gramEnd"/>
        <w:r>
          <w:rPr>
            <w:rStyle w:val="a3"/>
            <w:rFonts w:eastAsiaTheme="majorEastAsia"/>
          </w:rPr>
          <w:t xml:space="preserve"> 1.0-2012</w:t>
        </w:r>
      </w:hyperlink>
      <w:r>
        <w:rPr>
          <w:i/>
          <w:iCs/>
        </w:rPr>
        <w:t xml:space="preserve"> (раздел 8). Информация об изменениях к настоящему стандарту публикуется в ежегодном (по состоянию на 1 января текущего года) информационном указателе "Национальные стандарты", а текст изменений и поправок - в ежемесячном указателе "Национальные стандарты".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 (</w:t>
      </w:r>
      <w:proofErr w:type="spellStart"/>
      <w:r>
        <w:rPr>
          <w:i/>
          <w:iCs/>
        </w:rPr>
        <w:t>gost.ru</w:t>
      </w:r>
      <w:proofErr w:type="spellEnd"/>
      <w:r>
        <w:rPr>
          <w:i/>
          <w:iCs/>
        </w:rPr>
        <w:t>)</w:t>
      </w:r>
      <w:r>
        <w:br/>
      </w:r>
      <w:r>
        <w:br/>
      </w:r>
    </w:p>
    <w:p w:rsidR="000F6513" w:rsidRDefault="000F6513" w:rsidP="000F6513">
      <w:pPr>
        <w:pStyle w:val="headertext"/>
        <w:jc w:val="center"/>
      </w:pPr>
      <w:r>
        <w:t>Введение</w:t>
      </w:r>
    </w:p>
    <w:p w:rsidR="000F6513" w:rsidRDefault="000F6513" w:rsidP="000F6513">
      <w:pPr>
        <w:pStyle w:val="formattext"/>
      </w:pPr>
      <w:r>
        <w:t>По структуре построения и изложения требований международный стандарт МЭК 60364-7-702:2010 "Установки электрические зданий. Часть 7-702: Требования к специальным установкам или местам их размещения. Плавательные бассейны и фонтаны" дополняет, изменяет или заменяет требования соответствующих стандартов МЭК, входящих в серию международных стандартов МЭК 60364, которая состоит из частей:</w:t>
      </w:r>
      <w:r>
        <w:br/>
      </w:r>
      <w:r>
        <w:br/>
        <w:t>Часть 1. Электроустановки низковольтные. Основные положения, оценка общих характеристик, термины и определения.</w:t>
      </w:r>
      <w:r>
        <w:br/>
      </w:r>
      <w:r>
        <w:br/>
        <w:t>Часть 4. Электроустановки низковольтные. Требования по обеспечению безопасности:</w:t>
      </w:r>
      <w:r>
        <w:br/>
      </w:r>
      <w:r>
        <w:br/>
        <w:t>Часть 4-41. Защита от поражения электрическим током.</w:t>
      </w:r>
      <w:r>
        <w:br/>
      </w:r>
      <w:r>
        <w:br/>
        <w:t>Часть 4-42. Защита от тепловых воздействий.</w:t>
      </w:r>
      <w:r>
        <w:br/>
      </w:r>
      <w:r>
        <w:br/>
        <w:t>Часть 4-43. Защита от сверхтоков.</w:t>
      </w:r>
      <w:r>
        <w:br/>
      </w:r>
      <w:r>
        <w:br/>
        <w:t>Часть 4-44. Защита от отклонения напряжения и электромагнитных помех.</w:t>
      </w:r>
      <w:r>
        <w:br/>
      </w:r>
      <w:r>
        <w:lastRenderedPageBreak/>
        <w:br/>
        <w:t>Часть 5. Электроустановки низковольтные. Выбор и монтаж электрооборудования:</w:t>
      </w:r>
      <w:r>
        <w:br/>
      </w:r>
      <w:r>
        <w:br/>
        <w:t>Часть 5-51. Общие требования.</w:t>
      </w:r>
      <w:r>
        <w:br/>
      </w:r>
      <w:r>
        <w:br/>
        <w:t>Часть 5-52. Электропроводки.</w:t>
      </w:r>
      <w:r>
        <w:br/>
      </w:r>
      <w:r>
        <w:br/>
        <w:t>Часть 5-53. Аппаратура отделения, коммутации и управления.</w:t>
      </w:r>
      <w:r>
        <w:br/>
      </w:r>
      <w:r>
        <w:br/>
        <w:t>Часть 5-54. Заземляющие устройства, защитные проводники и проводники уравнивания потенциалов.</w:t>
      </w:r>
      <w:r>
        <w:br/>
      </w:r>
      <w:r>
        <w:br/>
        <w:t>Часть 5-55. Прочее оборудование.</w:t>
      </w:r>
      <w:r>
        <w:br/>
      </w:r>
      <w:r>
        <w:br/>
        <w:t>Часть 5-56. Системы безопасности.</w:t>
      </w:r>
      <w:r>
        <w:br/>
      </w:r>
      <w:r>
        <w:br/>
        <w:t>Часть 6. Электроустановки низковольтные. Испытания.</w:t>
      </w:r>
      <w:r>
        <w:br/>
      </w:r>
      <w:r>
        <w:br/>
        <w:t>Часть 7. Электроустановки низковольтные. Требования к специальным установкам или местам их расположения.</w:t>
      </w:r>
      <w:r>
        <w:br/>
      </w:r>
      <w:r>
        <w:br/>
        <w:t>В настоящем стандарте нумерация раздела или пункта через точку после обозначения 702 относится к нумерации раздела или пункта одного из стандартов серии стандартов МЭК 60364, например нумерация пункта в настоящем стандарте 702.522.8 относится к требованиям соответствующего по содержанию подраздела 522.8 стандарта МЭК 60364-5-52:2005 и изменяет или дополняет эти требования.</w:t>
      </w:r>
      <w:r>
        <w:br/>
      </w:r>
      <w:r>
        <w:br/>
        <w:t>Отсутствие в настоящем стандарте соответствующих ссылок на другие стандарты серии международных стандартов МЭК 60364 означает обязательность применения требований этих стандартов к объекту стандартизации.</w:t>
      </w:r>
      <w:r>
        <w:br/>
      </w:r>
      <w:r>
        <w:br/>
        <w:t>Приложение B международного стандарта исключено из текста настоящего стандарта, так как оно рассматривает вопросы, связанные с применением отдельных пунктов настоящего стандарта в различных зарубежных странах.</w:t>
      </w:r>
      <w:r>
        <w:br/>
      </w:r>
      <w:r>
        <w:br/>
      </w:r>
    </w:p>
    <w:p w:rsidR="000F6513" w:rsidRDefault="000F6513" w:rsidP="000F6513">
      <w:pPr>
        <w:pStyle w:val="2"/>
      </w:pPr>
      <w:r>
        <w:t>702.1 Область применения</w:t>
      </w:r>
    </w:p>
    <w:p w:rsidR="000F6513" w:rsidRDefault="000F6513" w:rsidP="000F6513">
      <w:pPr>
        <w:pStyle w:val="formattext"/>
      </w:pPr>
      <w:r>
        <w:t>Настоящий стандарт распространяется на электрические установки:</w:t>
      </w:r>
      <w:r>
        <w:br/>
      </w:r>
      <w:r>
        <w:br/>
        <w:t>- ванн плавательных бассейнов и лягушатников и зон их окружающих;</w:t>
      </w:r>
      <w:r>
        <w:br/>
      </w:r>
      <w:r>
        <w:br/>
        <w:t>- зон естественных водоемов, обводненных карьеров, прибрежных и подобных зон, предназначенных для плавания, ныряния и подобных целей, и их окружающих зон. Такие зоны рассматриваются как плавательные бассейны;</w:t>
      </w:r>
      <w:r>
        <w:br/>
      </w:r>
      <w:r>
        <w:br/>
        <w:t>- ванн фонтанов и их окружающих зон.</w:t>
      </w:r>
      <w:r>
        <w:br/>
      </w:r>
      <w:r>
        <w:br/>
        <w:t>Примечание - В этих зонах в нормальных условиях эффект поражения электрическим током увеличивается за счет снижения сопротивления кожи и контакта тела с потенциалом земли.</w:t>
      </w:r>
      <w:r>
        <w:br/>
      </w:r>
      <w:r>
        <w:lastRenderedPageBreak/>
        <w:br/>
      </w:r>
      <w:r>
        <w:br/>
        <w:t>К бассейнам для медицинского применения могут предъявляться специальные требования.</w:t>
      </w:r>
      <w:r>
        <w:br/>
      </w:r>
      <w:r>
        <w:br/>
        <w:t>Настоящий стандарт не распространяется на мобильное оборудование, например оборудование для очистки бассейна.</w:t>
      </w:r>
      <w:r>
        <w:br/>
      </w:r>
      <w:r>
        <w:br/>
      </w:r>
    </w:p>
    <w:p w:rsidR="000F6513" w:rsidRDefault="000F6513" w:rsidP="000F6513">
      <w:pPr>
        <w:pStyle w:val="2"/>
      </w:pPr>
      <w:r>
        <w:t>702.2 Нормативные ссылки</w:t>
      </w:r>
    </w:p>
    <w:p w:rsidR="000F6513" w:rsidRDefault="000F6513" w:rsidP="000F6513">
      <w:pPr>
        <w:pStyle w:val="formattext"/>
      </w:pPr>
      <w:r>
        <w:t>В настоящем стандарте использованы нормативные ссылки на следующие стандарты*. Для датированных ссылок применяется только указанное издание соответствующего нормативного документа. Для недатированных ссылок применяется последнее издание соответствующего нормативного документа.</w:t>
      </w:r>
      <w:r>
        <w:br/>
        <w:t>_______________</w:t>
      </w:r>
      <w:r>
        <w:br/>
        <w:t xml:space="preserve">* Таблицу соответствия национальных стандартов международным </w:t>
      </w:r>
      <w:proofErr w:type="gramStart"/>
      <w:r>
        <w:t>см</w:t>
      </w:r>
      <w:proofErr w:type="gramEnd"/>
      <w:r>
        <w:t>. по ссылке. - Примечание изготовителя базы данных.</w:t>
      </w:r>
    </w:p>
    <w:p w:rsidR="000F6513" w:rsidRPr="000F6513" w:rsidRDefault="000F6513" w:rsidP="000F6513">
      <w:pPr>
        <w:pStyle w:val="formattext"/>
        <w:rPr>
          <w:lang w:val="en-US"/>
        </w:rPr>
      </w:pPr>
      <w:r>
        <w:br/>
        <w:t>МЭК 60245 (все части) Кабели с резиновой изоляцией на номинальное напряжение до 450/750</w:t>
      </w:r>
      <w:proofErr w:type="gramStart"/>
      <w:r>
        <w:t xml:space="preserve"> В</w:t>
      </w:r>
      <w:proofErr w:type="gramEnd"/>
      <w:r>
        <w:t xml:space="preserve"> включительно (IEC 60245 (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) </w:t>
      </w:r>
      <w:proofErr w:type="spellStart"/>
      <w:r>
        <w:t>Rubber</w:t>
      </w:r>
      <w:proofErr w:type="spellEnd"/>
      <w:r>
        <w:t xml:space="preserve"> </w:t>
      </w:r>
      <w:proofErr w:type="spellStart"/>
      <w:r>
        <w:t>insulated</w:t>
      </w:r>
      <w:proofErr w:type="spellEnd"/>
      <w:r>
        <w:t xml:space="preserve"> </w:t>
      </w:r>
      <w:proofErr w:type="spellStart"/>
      <w:r>
        <w:t>cables</w:t>
      </w:r>
      <w:proofErr w:type="spellEnd"/>
      <w:r>
        <w:t xml:space="preserve"> - </w:t>
      </w:r>
      <w:proofErr w:type="spellStart"/>
      <w:r>
        <w:t>Rated</w:t>
      </w:r>
      <w:proofErr w:type="spellEnd"/>
      <w:r>
        <w:t xml:space="preserve"> </w:t>
      </w:r>
      <w:proofErr w:type="spellStart"/>
      <w:r>
        <w:t>voltages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450/750 V)</w:t>
      </w:r>
      <w:r>
        <w:br/>
      </w:r>
      <w:r>
        <w:br/>
        <w:t>МЭК 60335-2-41 Приборы электрические бытового и аналогичного назначения. Безопасность. Часть 2: Частные требования к электрическим насосам для жидкостей с температурой не выше 35</w:t>
      </w:r>
      <w:proofErr w:type="gramStart"/>
      <w:r>
        <w:t xml:space="preserve"> °С</w:t>
      </w:r>
      <w:proofErr w:type="gramEnd"/>
      <w:r>
        <w:t xml:space="preserve"> (IEC 60335-2-41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household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appliances</w:t>
      </w:r>
      <w:proofErr w:type="spellEnd"/>
      <w:r>
        <w:t xml:space="preserve"> - </w:t>
      </w:r>
      <w:proofErr w:type="spellStart"/>
      <w:r>
        <w:t>Part</w:t>
      </w:r>
      <w:proofErr w:type="spellEnd"/>
      <w:r>
        <w:t xml:space="preserve"> 2: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pumps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liquids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exceeding</w:t>
      </w:r>
      <w:proofErr w:type="spellEnd"/>
      <w:r>
        <w:t xml:space="preserve"> 35 °C)</w:t>
      </w:r>
      <w:r>
        <w:br/>
      </w:r>
      <w:r>
        <w:br/>
        <w:t xml:space="preserve">МЭК 60364-1:2005 Электрические низковольтные установки зданий. Часть 1. </w:t>
      </w:r>
      <w:proofErr w:type="gramStart"/>
      <w:r>
        <w:t xml:space="preserve">Основные принципы, оценка общих характеристик, определения (IEC 60364-1:2005 </w:t>
      </w:r>
      <w:proofErr w:type="spellStart"/>
      <w:r>
        <w:t>Low-voltage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installations</w:t>
      </w:r>
      <w:proofErr w:type="spellEnd"/>
      <w:r>
        <w:t xml:space="preserve"> - </w:t>
      </w:r>
      <w:proofErr w:type="spellStart"/>
      <w:r>
        <w:t>Part</w:t>
      </w:r>
      <w:proofErr w:type="spellEnd"/>
      <w:r>
        <w:t xml:space="preserve"> 1:</w:t>
      </w:r>
      <w:proofErr w:type="gramEnd"/>
      <w:r>
        <w:t xml:space="preserve"> </w:t>
      </w:r>
      <w:proofErr w:type="spellStart"/>
      <w:proofErr w:type="gramStart"/>
      <w:r>
        <w:t>Fundamental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,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, </w:t>
      </w:r>
      <w:proofErr w:type="spellStart"/>
      <w:r>
        <w:t>definitions</w:t>
      </w:r>
      <w:proofErr w:type="spellEnd"/>
      <w:r>
        <w:t>)</w:t>
      </w:r>
      <w:r>
        <w:br/>
      </w:r>
      <w:r>
        <w:br/>
        <w:t>МЭК 60364-4-41:2005 Электрические установки зданий.</w:t>
      </w:r>
      <w:proofErr w:type="gramEnd"/>
      <w:r>
        <w:t xml:space="preserve"> Часть 4-41. Защита для обеспечения безопасности. </w:t>
      </w:r>
      <w:proofErr w:type="gramStart"/>
      <w:r>
        <w:t xml:space="preserve">Защита от электрического удара (IEC 60364-4-41:2005 </w:t>
      </w:r>
      <w:proofErr w:type="spellStart"/>
      <w:r>
        <w:t>Low-voltage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installations</w:t>
      </w:r>
      <w:proofErr w:type="spellEnd"/>
      <w:r>
        <w:t xml:space="preserve"> - </w:t>
      </w:r>
      <w:proofErr w:type="spellStart"/>
      <w:r>
        <w:t>Part</w:t>
      </w:r>
      <w:proofErr w:type="spellEnd"/>
      <w:r>
        <w:t xml:space="preserve"> 4-41:</w:t>
      </w:r>
      <w:proofErr w:type="gram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-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shock</w:t>
      </w:r>
      <w:proofErr w:type="spellEnd"/>
      <w:r>
        <w:t>)</w:t>
      </w:r>
      <w:r>
        <w:br/>
      </w:r>
      <w:r>
        <w:br/>
        <w:t xml:space="preserve">МЭК 60529:1989 Степени защиты, обеспечиваемые корпусами (Код IP) (IEC 60529:1989 </w:t>
      </w:r>
      <w:proofErr w:type="spellStart"/>
      <w:r>
        <w:t>Degrees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enclosures</w:t>
      </w:r>
      <w:proofErr w:type="spellEnd"/>
      <w:r>
        <w:t xml:space="preserve"> (IP </w:t>
      </w:r>
      <w:proofErr w:type="spellStart"/>
      <w:r>
        <w:t>code</w:t>
      </w:r>
      <w:proofErr w:type="spellEnd"/>
      <w:r>
        <w:t>)</w:t>
      </w:r>
      <w:r>
        <w:br/>
      </w:r>
      <w:r>
        <w:br/>
        <w:t xml:space="preserve">МЭК 60598-2-18 Светильники. Часть 2. Частные требования. Раздел 18: Светильники для плавательных бассейнов и аналогичного применения (IEC 60598-2-18 </w:t>
      </w:r>
      <w:proofErr w:type="spellStart"/>
      <w:r>
        <w:t>Luminaires</w:t>
      </w:r>
      <w:proofErr w:type="spellEnd"/>
      <w:r>
        <w:t xml:space="preserve">; </w:t>
      </w:r>
      <w:proofErr w:type="spellStart"/>
      <w:r>
        <w:t>part</w:t>
      </w:r>
      <w:proofErr w:type="spellEnd"/>
      <w:r>
        <w:t xml:space="preserve"> 2: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; </w:t>
      </w:r>
      <w:proofErr w:type="spellStart"/>
      <w:r>
        <w:t>section</w:t>
      </w:r>
      <w:proofErr w:type="spellEnd"/>
      <w:r>
        <w:t xml:space="preserve"> 18: </w:t>
      </w:r>
      <w:proofErr w:type="spellStart"/>
      <w:r>
        <w:t>luminaires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swimming</w:t>
      </w:r>
      <w:proofErr w:type="spellEnd"/>
      <w:r>
        <w:t xml:space="preserve"> </w:t>
      </w:r>
      <w:proofErr w:type="spellStart"/>
      <w:r>
        <w:t>pools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>)</w:t>
      </w:r>
      <w:r>
        <w:br/>
      </w:r>
      <w:r>
        <w:br/>
        <w:t xml:space="preserve">МЭК 61386-1 Системы </w:t>
      </w:r>
      <w:proofErr w:type="spellStart"/>
      <w:r>
        <w:t>кабелепроводов</w:t>
      </w:r>
      <w:proofErr w:type="spellEnd"/>
      <w:r>
        <w:t xml:space="preserve"> для электрических установок. Часть</w:t>
      </w:r>
      <w:r w:rsidRPr="000F6513">
        <w:rPr>
          <w:lang w:val="en-US"/>
        </w:rPr>
        <w:t xml:space="preserve"> 1. </w:t>
      </w:r>
      <w:proofErr w:type="gramStart"/>
      <w:r>
        <w:t>Общие</w:t>
      </w:r>
      <w:r w:rsidRPr="000F6513">
        <w:rPr>
          <w:lang w:val="en-US"/>
        </w:rPr>
        <w:t xml:space="preserve"> </w:t>
      </w:r>
      <w:r>
        <w:t>требования</w:t>
      </w:r>
      <w:r w:rsidRPr="000F6513">
        <w:rPr>
          <w:lang w:val="en-US"/>
        </w:rPr>
        <w:t xml:space="preserve"> (IEC 61386-1 Conduit systems for electrical installations - Part 1:</w:t>
      </w:r>
      <w:proofErr w:type="gramEnd"/>
      <w:r w:rsidRPr="000F6513">
        <w:rPr>
          <w:lang w:val="en-US"/>
        </w:rPr>
        <w:t xml:space="preserve"> General requirements)</w:t>
      </w:r>
      <w:r w:rsidRPr="000F6513">
        <w:rPr>
          <w:lang w:val="en-US"/>
        </w:rPr>
        <w:br/>
      </w:r>
      <w:r w:rsidRPr="000F6513">
        <w:rPr>
          <w:lang w:val="en-US"/>
        </w:rPr>
        <w:lastRenderedPageBreak/>
        <w:br/>
      </w:r>
    </w:p>
    <w:p w:rsidR="000F6513" w:rsidRDefault="000F6513" w:rsidP="000F6513">
      <w:pPr>
        <w:pStyle w:val="2"/>
      </w:pPr>
      <w:r>
        <w:t>702.3 Термины и определения</w:t>
      </w:r>
    </w:p>
    <w:p w:rsidR="000F6513" w:rsidRDefault="000F6513" w:rsidP="000F6513">
      <w:pPr>
        <w:pStyle w:val="formattext"/>
      </w:pPr>
      <w:r>
        <w:t>В настоящем стандарте используют следующие термины с соответствующими определениями.</w:t>
      </w:r>
      <w:r>
        <w:br/>
      </w:r>
    </w:p>
    <w:p w:rsidR="000F6513" w:rsidRDefault="000F6513" w:rsidP="000F6513">
      <w:pPr>
        <w:pStyle w:val="formattext"/>
      </w:pPr>
      <w:r>
        <w:t xml:space="preserve">702.3.1 </w:t>
      </w:r>
      <w:r>
        <w:rPr>
          <w:b/>
          <w:bCs/>
        </w:rPr>
        <w:t>фонтан:</w:t>
      </w:r>
      <w:r>
        <w:t xml:space="preserve"> Установка, как правило, применяемая в декоративных целях, когда вода выходит из источника и заливает ванну некоторого вида.</w:t>
      </w:r>
      <w:r>
        <w:br/>
      </w:r>
    </w:p>
    <w:p w:rsidR="000F6513" w:rsidRDefault="000F6513" w:rsidP="000F6513">
      <w:pPr>
        <w:pStyle w:val="formattext"/>
      </w:pPr>
      <w:r>
        <w:t xml:space="preserve">702.3.2 </w:t>
      </w:r>
      <w:r>
        <w:rPr>
          <w:b/>
          <w:bCs/>
        </w:rPr>
        <w:t>ванна фонтана:</w:t>
      </w:r>
      <w:r>
        <w:t xml:space="preserve"> Часть фонтана, в которой собирается стекающая вода.</w:t>
      </w:r>
      <w:r>
        <w:br/>
      </w:r>
      <w:r>
        <w:br/>
        <w:t xml:space="preserve">Примечание - </w:t>
      </w:r>
      <w:proofErr w:type="gramStart"/>
      <w:r>
        <w:t>См</w:t>
      </w:r>
      <w:proofErr w:type="gramEnd"/>
      <w:r>
        <w:t>. также 702.30.101.</w:t>
      </w:r>
      <w:r>
        <w:br/>
      </w:r>
      <w:r>
        <w:br/>
      </w:r>
    </w:p>
    <w:p w:rsidR="000F6513" w:rsidRDefault="000F6513" w:rsidP="000F6513">
      <w:pPr>
        <w:pStyle w:val="formattext"/>
      </w:pPr>
      <w:r>
        <w:t xml:space="preserve">702.3.3 </w:t>
      </w:r>
      <w:r>
        <w:rPr>
          <w:b/>
          <w:bCs/>
        </w:rPr>
        <w:t>плавательный бассейн:</w:t>
      </w:r>
      <w:r>
        <w:t xml:space="preserve"> Ванна с водой, предназначенная для плавания, ныряния и т.д., но не для мытья.</w:t>
      </w:r>
      <w:r>
        <w:br/>
      </w:r>
    </w:p>
    <w:p w:rsidR="000F6513" w:rsidRDefault="000F6513" w:rsidP="000F6513">
      <w:pPr>
        <w:pStyle w:val="formattext"/>
      </w:pPr>
      <w:r>
        <w:t xml:space="preserve">702.3.4 </w:t>
      </w:r>
      <w:r>
        <w:rPr>
          <w:b/>
          <w:bCs/>
        </w:rPr>
        <w:t>лягушатник:</w:t>
      </w:r>
      <w:r>
        <w:t xml:space="preserve"> ванна с низким уровнем воды, например для </w:t>
      </w:r>
      <w:proofErr w:type="gramStart"/>
      <w:r>
        <w:t>игр</w:t>
      </w:r>
      <w:proofErr w:type="gramEnd"/>
      <w:r>
        <w:t xml:space="preserve"> или плавания.</w:t>
      </w:r>
      <w:r>
        <w:br/>
      </w:r>
      <w:r>
        <w:br/>
      </w:r>
    </w:p>
    <w:p w:rsidR="000F6513" w:rsidRDefault="000F6513" w:rsidP="000F6513">
      <w:pPr>
        <w:pStyle w:val="2"/>
      </w:pPr>
      <w:r>
        <w:t>702.30 Общие характеристики</w:t>
      </w:r>
    </w:p>
    <w:p w:rsidR="000F6513" w:rsidRDefault="000F6513" w:rsidP="000F6513">
      <w:pPr>
        <w:pStyle w:val="formattext"/>
      </w:pPr>
      <w:r>
        <w:t>Применяют МЭК 60364-1 [1] со следующими дополнениями: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702.30.101 Общие требования</w:t>
      </w:r>
      <w:r>
        <w:br/>
      </w:r>
      <w:r>
        <w:br/>
        <w:t>Требования настоящего стандарта основываются на размерах трех зон: 0, 1 и 2 в соответствии с требованиями 702.30.102-702.30.104 (см. рисунки 702.1-702.4).</w:t>
      </w:r>
      <w:r>
        <w:br/>
      </w:r>
      <w:r>
        <w:br/>
        <w:t>К электрооборудованию, смонтированному на стенах, полах или потолках, ограничивающих зоны, определенные в 702.30.102-702.30.104, и сопряженному с поверхностью стены, пола или потолка, предъявляют те же самые требования, что и для зон, ограниченных поверхностью, если не существует специальных требований (</w:t>
      </w:r>
      <w:proofErr w:type="gramStart"/>
      <w:r>
        <w:t>см</w:t>
      </w:r>
      <w:proofErr w:type="gramEnd"/>
      <w:r>
        <w:t>. 702.55).</w:t>
      </w:r>
      <w:r>
        <w:br/>
      </w:r>
      <w:r>
        <w:br/>
        <w:t>Ширина зоны 1 или 2 может быть уменьшена стационарными перегородками минимальной высотой 2,5 м.</w:t>
      </w:r>
      <w:r>
        <w:br/>
      </w:r>
      <w:r>
        <w:br/>
        <w:t>Требования для плавательных бассейнов также применяются к лягушатникам.</w:t>
      </w:r>
      <w:r>
        <w:br/>
      </w:r>
      <w:r>
        <w:br/>
        <w:t>Для ванн фонтанов, которые также предназначены для нахождения людей, применяют требования, как для зон 0 и 1 плавательных бассейнов.</w:t>
      </w:r>
      <w:r>
        <w:br/>
      </w:r>
      <w:r>
        <w:br/>
      </w:r>
      <w:r>
        <w:lastRenderedPageBreak/>
        <w:t>Примечания</w:t>
      </w:r>
      <w:r>
        <w:br/>
      </w:r>
    </w:p>
    <w:p w:rsidR="000F6513" w:rsidRDefault="000F6513" w:rsidP="000F6513">
      <w:pPr>
        <w:pStyle w:val="formattext"/>
      </w:pPr>
      <w:r>
        <w:t>1 Стационарные перегородки должны быть закреплены, разделяя стены, включая стены с окнами и дверями. Зоны также ограничивают потолками, наклонами крыш и полов. Стационарные перегородки ниже 2,5 м также ограничивают зоны, если они сопрягаются с потолком или наклоном крыши.</w:t>
      </w:r>
      <w:r>
        <w:br/>
      </w:r>
    </w:p>
    <w:p w:rsidR="000F6513" w:rsidRDefault="000F6513" w:rsidP="000F6513">
      <w:pPr>
        <w:pStyle w:val="formattext"/>
      </w:pPr>
      <w:r>
        <w:t>2</w:t>
      </w:r>
      <w:proofErr w:type="gramStart"/>
      <w:r>
        <w:t xml:space="preserve"> К</w:t>
      </w:r>
      <w:proofErr w:type="gramEnd"/>
      <w:r>
        <w:t>огда стационарную перегородку устанавливают в зоне, ее влияние на размер зоны приведен на рисунке 702.3.</w:t>
      </w:r>
      <w:r>
        <w:br/>
      </w:r>
    </w:p>
    <w:p w:rsidR="000F6513" w:rsidRDefault="000F6513" w:rsidP="000F6513">
      <w:pPr>
        <w:pStyle w:val="formattext"/>
      </w:pPr>
      <w:r>
        <w:t>3 Требования настоящего стандарта применимы при установке готового бассейна.</w:t>
      </w:r>
      <w:r>
        <w:br/>
      </w:r>
    </w:p>
    <w:p w:rsidR="000F6513" w:rsidRDefault="000F6513" w:rsidP="000F6513">
      <w:pPr>
        <w:pStyle w:val="formattext"/>
      </w:pPr>
      <w:r>
        <w:t>4 Примеры определения зон приведены в приложении А.</w:t>
      </w:r>
      <w:r>
        <w:br/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702.30.102 Описание зоны 0</w:t>
      </w:r>
      <w:r>
        <w:br/>
      </w:r>
      <w:r>
        <w:br/>
        <w:t>Зона 0 включает в себя:</w:t>
      </w:r>
      <w:r>
        <w:br/>
      </w:r>
      <w:r>
        <w:br/>
        <w:t>- внутреннюю часть ванн, в том числе любые углубления в их стенах или полах, и</w:t>
      </w:r>
      <w:r>
        <w:br/>
      </w:r>
      <w:r>
        <w:br/>
        <w:t>- внутреннюю часть ванн для мытья ног, и</w:t>
      </w:r>
      <w:r>
        <w:br/>
      </w:r>
      <w:r>
        <w:br/>
        <w:t xml:space="preserve">- внутреннюю часть </w:t>
      </w:r>
      <w:proofErr w:type="spellStart"/>
      <w:r>
        <w:t>водоструев</w:t>
      </w:r>
      <w:proofErr w:type="spellEnd"/>
      <w:r>
        <w:t xml:space="preserve"> или водопадов и пространства ниже их (</w:t>
      </w:r>
      <w:proofErr w:type="gramStart"/>
      <w:r>
        <w:t>см</w:t>
      </w:r>
      <w:proofErr w:type="gramEnd"/>
      <w:r>
        <w:t>. рисунок 702.4).</w:t>
      </w:r>
      <w:r>
        <w:br/>
      </w:r>
      <w:r>
        <w:br/>
        <w:t xml:space="preserve">Примечание - Если зона не может быть точно определена под </w:t>
      </w:r>
      <w:proofErr w:type="spellStart"/>
      <w:r>
        <w:t>водоструями</w:t>
      </w:r>
      <w:proofErr w:type="spellEnd"/>
      <w:r>
        <w:t xml:space="preserve"> или водопадами, рекомендуется взять как горизонтальное ограничение зоны вертикальную плоскость от обрамления ванны и максимальную высоту </w:t>
      </w:r>
      <w:proofErr w:type="spellStart"/>
      <w:r>
        <w:t>водоструя</w:t>
      </w:r>
      <w:proofErr w:type="spellEnd"/>
      <w:r>
        <w:t xml:space="preserve"> или водопада как ограничение по высоте.</w:t>
      </w:r>
      <w:r>
        <w:br/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702.30.103 Описание зоны 1</w:t>
      </w:r>
      <w:r>
        <w:br/>
      </w:r>
      <w:r>
        <w:br/>
        <w:t>Зона 1 ограничивается:</w:t>
      </w:r>
      <w:r>
        <w:br/>
      </w:r>
      <w:r>
        <w:br/>
        <w:t>- границей зоны 0,</w:t>
      </w:r>
      <w:r>
        <w:br/>
      </w:r>
      <w:r>
        <w:br/>
        <w:t>- вертикальной плоскостью на расстоянии 2 м от обрамления ванны,</w:t>
      </w:r>
      <w:r>
        <w:br/>
      </w:r>
      <w:r>
        <w:br/>
        <w:t>- полом или поверхностью, где возможно пребывание людей,</w:t>
      </w:r>
      <w:r>
        <w:br/>
      </w:r>
      <w:r>
        <w:br/>
        <w:t>- горизонтальной плоскостью на 2,5 м выше от пола или поверхности, где возможно пребывание людей.</w:t>
      </w:r>
      <w:r>
        <w:br/>
      </w:r>
      <w:r>
        <w:br/>
        <w:t xml:space="preserve">Примечание - Недоступное оборудование, установленное в оболочке ниже поверхности </w:t>
      </w:r>
      <w:r>
        <w:lastRenderedPageBreak/>
        <w:t>пола, за стеной или выше потолка не рассматривают как находящееся в зоне 1 (см. 702.55.101.3).</w:t>
      </w:r>
      <w:r>
        <w:br/>
      </w:r>
      <w:r>
        <w:br/>
      </w:r>
      <w:r>
        <w:br/>
      </w:r>
      <w:proofErr w:type="gramStart"/>
      <w:r>
        <w:t>Если плавательный бассейн содержит погружающиеся конструкции, стартовые тумбы, скаты или другие конструкции, где возможно пребывание или доступ людей, зона 1 также включает в себя зону, ограниченную:</w:t>
      </w:r>
      <w:r>
        <w:br/>
      </w:r>
      <w:r>
        <w:br/>
        <w:t>- вертикальной плоскостью, расположенной в 1,5 м вокруг трамплинов, вышек для прыжков, стартовых блоков, скатов и других компонентов, таких как доступные прикосновению скульптуры и декоративные украшения ванн,</w:t>
      </w:r>
      <w:r>
        <w:br/>
      </w:r>
      <w:r>
        <w:br/>
        <w:t>- горизонтальной плоскостью на 2,5 м выше самой высокой</w:t>
      </w:r>
      <w:proofErr w:type="gramEnd"/>
      <w:r>
        <w:t xml:space="preserve"> поверхности, где возможно пребывание людей.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702.30.104 Описание зоны 2</w:t>
      </w:r>
      <w:r>
        <w:br/>
      </w:r>
      <w:r>
        <w:br/>
        <w:t>Зона 2 ограничивается:</w:t>
      </w:r>
      <w:r>
        <w:br/>
      </w:r>
      <w:r>
        <w:br/>
        <w:t>- вертикальной плоскостью, внешней по отношению к зоне 1 и горизонтальной плоскостью на расстоянии 1,5 м от предыдущей зоны,</w:t>
      </w:r>
      <w:r>
        <w:br/>
      </w:r>
      <w:r>
        <w:br/>
        <w:t>- полом или поверхностью, где возможно пребывание людей, и</w:t>
      </w:r>
      <w:r>
        <w:br/>
      </w:r>
      <w:r>
        <w:br/>
        <w:t>- горизонтальной плоскостью на 2,5 м выше пола или поверхности, где возможно пребывание людей.</w:t>
      </w:r>
      <w:r>
        <w:br/>
      </w:r>
      <w:r>
        <w:br/>
        <w:t>Для фонтанов зона 2 не существует.</w:t>
      </w:r>
      <w:r>
        <w:br/>
      </w:r>
      <w:r>
        <w:br/>
        <w:t>Примечание - Недоступное оборудование, установленное в оболочке ниже поверхности пола, за стеной или выше потолка не рассматривается, как находящееся в зоне 2 (см. 702.55.101.3).</w:t>
      </w:r>
      <w:r>
        <w:br/>
      </w:r>
      <w:r>
        <w:br/>
      </w:r>
    </w:p>
    <w:p w:rsidR="000F6513" w:rsidRDefault="000F6513" w:rsidP="000F6513">
      <w:pPr>
        <w:pStyle w:val="2"/>
      </w:pPr>
      <w:r>
        <w:t>702.4 Защита для обеспечения безопасности</w:t>
      </w:r>
    </w:p>
    <w:p w:rsidR="000F6513" w:rsidRDefault="000F6513" w:rsidP="000F6513">
      <w:pPr>
        <w:pStyle w:val="formattext"/>
      </w:pPr>
      <w:r>
        <w:rPr>
          <w:b/>
          <w:bCs/>
        </w:rPr>
        <w:t>702.41 Защиты от поражения электрическим током</w:t>
      </w:r>
      <w:proofErr w:type="gramStart"/>
      <w:r>
        <w:br/>
      </w:r>
      <w:r>
        <w:br/>
        <w:t>П</w:t>
      </w:r>
      <w:proofErr w:type="gramEnd"/>
      <w:r>
        <w:t>рименяют МЭК 60364-4-41 со следующими дополнениями:</w:t>
      </w:r>
      <w:r>
        <w:br/>
      </w:r>
      <w:r>
        <w:br/>
        <w:t>Примечание</w:t>
      </w:r>
      <w:r>
        <w:br/>
      </w:r>
    </w:p>
    <w:p w:rsidR="000F6513" w:rsidRDefault="000F6513" w:rsidP="000F6513">
      <w:pPr>
        <w:pStyle w:val="formattext"/>
      </w:pPr>
      <w:r>
        <w:t>1 Выбор и монтаж розеток (</w:t>
      </w:r>
      <w:proofErr w:type="gramStart"/>
      <w:r>
        <w:t>см</w:t>
      </w:r>
      <w:proofErr w:type="gramEnd"/>
      <w:r>
        <w:t>. 702.53).</w:t>
      </w:r>
      <w:r>
        <w:br/>
      </w:r>
    </w:p>
    <w:p w:rsidR="000F6513" w:rsidRDefault="000F6513" w:rsidP="000F6513">
      <w:pPr>
        <w:pStyle w:val="formattext"/>
      </w:pPr>
      <w:r>
        <w:t>2 Выбор и монтаж другого оборудования (</w:t>
      </w:r>
      <w:proofErr w:type="gramStart"/>
      <w:r>
        <w:t>см</w:t>
      </w:r>
      <w:proofErr w:type="gramEnd"/>
      <w:r>
        <w:t>. 702.55).</w:t>
      </w:r>
      <w:r>
        <w:br/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lastRenderedPageBreak/>
        <w:t>702.410.3 Общие требования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702.410.3.5</w:t>
      </w:r>
      <w:r>
        <w:br/>
      </w:r>
      <w:r>
        <w:br/>
        <w:t>Защитные меры, такие как установка барьеров и размещение вне зоны досягаемости, как это определено в приложении B МЭК 60364-4-41, не должны применяться.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702.410.3.6</w:t>
      </w:r>
      <w:r>
        <w:br/>
      </w:r>
      <w:r>
        <w:br/>
        <w:t xml:space="preserve">Защитные меры, такие как непроводящие помещения, незаземленная местная система уравнивания потенциалов и электрическое разделение цепей при питании более чем одного </w:t>
      </w:r>
      <w:proofErr w:type="spellStart"/>
      <w:r>
        <w:t>электроприемника</w:t>
      </w:r>
      <w:proofErr w:type="spellEnd"/>
      <w:r>
        <w:t>, как определено в приложении C МЭК 60364-4-41, не должны применяться.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702.410.3.101 Специальные требования для конкретной зоны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702.410.3.101.1 Зоны 0 и 1 в плавательных бассейнах, в естественных водоемах, обводненных карьерах, прибрежных и подобных зонах</w:t>
      </w:r>
      <w:proofErr w:type="gramStart"/>
      <w:r>
        <w:br/>
      </w:r>
      <w:r>
        <w:br/>
        <w:t>В</w:t>
      </w:r>
      <w:proofErr w:type="gramEnd"/>
      <w:r>
        <w:t xml:space="preserve"> зонах 0 и 1 допускается применять только защиты с помощью системы БСНН с номинальным напряжением, не превышающим 12 В переменного тока или 30 В постоянного тока, за исключением применения требований в соответствии с указаниями 702.55.104. Источник питания должен быть установлен вне зон 0 и 1. В случае установки источника питания в зоне 2, должны выполняться указания 702.53.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702.410.3.101.2 Зоны 0 и 1 в фонтанах</w:t>
      </w:r>
      <w:proofErr w:type="gramStart"/>
      <w:r>
        <w:br/>
      </w:r>
      <w:r>
        <w:br/>
        <w:t>В</w:t>
      </w:r>
      <w:proofErr w:type="gramEnd"/>
      <w:r>
        <w:t xml:space="preserve"> зонах 0 и 1 следует применять только следующие защитные меры:</w:t>
      </w:r>
      <w:r>
        <w:br/>
      </w:r>
      <w:r>
        <w:br/>
        <w:t>- систему БСНН (см. МЭК 60364-4-41, раздел 414) с источником питания, устанавливаемым вне зон 0 и 1; или</w:t>
      </w:r>
      <w:r>
        <w:br/>
      </w:r>
      <w:r>
        <w:br/>
        <w:t>- автоматическое отключение питания (см. МЭК 60364-4-41, раздел 411), с использованием защитного устройства дифференциального тока с дифференциальным током срабатывания, не превышающим 30 мА; или</w:t>
      </w:r>
      <w:r>
        <w:br/>
      </w:r>
      <w:r>
        <w:br/>
        <w:t xml:space="preserve">- электрическое разделение цепей (см. МЭК 60364-4-41, раздел 413), с питанием от разделительного трансформатора, установленного вне зон 0 и 1 </w:t>
      </w:r>
      <w:proofErr w:type="gramStart"/>
      <w:r>
        <w:t>для</w:t>
      </w:r>
      <w:proofErr w:type="gramEnd"/>
      <w:r>
        <w:t xml:space="preserve"> единичного </w:t>
      </w:r>
      <w:proofErr w:type="spellStart"/>
      <w:r>
        <w:t>электроприемника</w:t>
      </w:r>
      <w:proofErr w:type="spellEnd"/>
      <w:r>
        <w:t>.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702.410.3.101.3 Зона 2 в плавательных бассейнах, в естественных водоемах, обводненных карьерах, прибрежных и подобных зонах</w:t>
      </w:r>
      <w:r>
        <w:br/>
      </w:r>
      <w:r>
        <w:br/>
        <w:t>Примечание - Для фонтанов зона 2 отсутствует.</w:t>
      </w:r>
      <w:r>
        <w:br/>
      </w:r>
    </w:p>
    <w:p w:rsidR="000F6513" w:rsidRDefault="000F6513" w:rsidP="000F6513">
      <w:pPr>
        <w:pStyle w:val="formattext"/>
      </w:pPr>
      <w:r>
        <w:lastRenderedPageBreak/>
        <w:br/>
        <w:t>Одна или более из следующих защитных мер могут быть использованы:</w:t>
      </w:r>
      <w:r>
        <w:br/>
      </w:r>
      <w:r>
        <w:br/>
        <w:t xml:space="preserve">- система БСНН (см. МЭК 60364-4-41, раздел 414). Источник питания должен быть установлен вне зон 0 и 1. </w:t>
      </w:r>
      <w:proofErr w:type="gramStart"/>
      <w:r>
        <w:t>В случае установки источника питания в зоне 2 должны выполняться требования 702.53, или</w:t>
      </w:r>
      <w:r>
        <w:br/>
      </w:r>
      <w:r>
        <w:br/>
        <w:t>- автоматическое отключение питания (см. МЭК 60364-4-41, раздел 411), с использованием защитного устройства дифференциального тока с дифференциальным током срабатывания, не превышающим 30 мА; или</w:t>
      </w:r>
      <w:r>
        <w:br/>
      </w:r>
      <w:r>
        <w:br/>
        <w:t xml:space="preserve">- электрическое разделение цепей (см. МЭК 60364-4-41, раздел 413), с питанием от разделительного трансформатора, установленного вне зон 0 и 1, единичного </w:t>
      </w:r>
      <w:proofErr w:type="spellStart"/>
      <w:r>
        <w:t>электроприемника</w:t>
      </w:r>
      <w:proofErr w:type="spellEnd"/>
      <w:r>
        <w:t>.</w:t>
      </w:r>
      <w:proofErr w:type="gramEnd"/>
      <w:r>
        <w:t xml:space="preserve"> В случае установки источника питания в зоне 2 должны быть выполнены требования 702.53.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702.414 Защитные меры: сверхнизкое напряжение (БСНН и ЗСНН)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702.414.4 Требования для цепей БСНН и ЗСНН</w:t>
      </w:r>
      <w:r>
        <w:br/>
      </w:r>
      <w:r>
        <w:br/>
        <w:t>Применение системы ЗСНН не допускается.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702.414.4.5</w:t>
      </w:r>
      <w:r>
        <w:br/>
      </w:r>
      <w:r>
        <w:br/>
        <w:t>Дополнение:</w:t>
      </w:r>
      <w:r>
        <w:br/>
      </w:r>
      <w:r>
        <w:br/>
        <w:t>При применении системы БСНН, безотносительно номинального напряжения, должна быть обеспечена основная защита (защита от прямого прикосновения) с использованием:</w:t>
      </w:r>
      <w:r>
        <w:br/>
      </w:r>
      <w:r>
        <w:br/>
        <w:t>- ограждений или оболочек, обеспечивающих степень защиты IP2X или IPXXB в соответствии с МЭК 60529, или</w:t>
      </w:r>
      <w:r>
        <w:br/>
      </w:r>
      <w:r>
        <w:br/>
        <w:t>- изоляции, выдерживающей испытательное напряжение 500</w:t>
      </w:r>
      <w:proofErr w:type="gramStart"/>
      <w:r>
        <w:t xml:space="preserve"> В</w:t>
      </w:r>
      <w:proofErr w:type="gramEnd"/>
      <w:r>
        <w:t xml:space="preserve"> переменного тока в течение 1 минуты.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702.415 Дополнительные защиты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702.415.2 Дополнительная защита: дополнительное уравнивание потенциалов</w:t>
      </w:r>
      <w:r>
        <w:br/>
      </w:r>
      <w:r>
        <w:br/>
        <w:t>Дополнение:</w:t>
      </w:r>
      <w:r>
        <w:br/>
      </w:r>
      <w:r>
        <w:br/>
        <w:t>Все сторонние проводящие части в зонах 0, 1 и 2 должны быть присоединены защитными проводниками уравнивания потенциалов к защитным проводникам открытых проводящих частей оборудования, расположенного в этих зонах.</w:t>
      </w:r>
      <w:r>
        <w:br/>
      </w:r>
      <w:r>
        <w:br/>
        <w:t xml:space="preserve">Примечание 1 - Соединение с защитным проводником рекомендуется выполнять в непосредственной близости от места расположения объекта, например в щите </w:t>
      </w:r>
      <w:proofErr w:type="gramStart"/>
      <w:r>
        <w:t>управления</w:t>
      </w:r>
      <w:proofErr w:type="gramEnd"/>
      <w:r>
        <w:t xml:space="preserve"> </w:t>
      </w:r>
      <w:r>
        <w:lastRenderedPageBreak/>
        <w:t>или распределения или в другом оборудовании.</w:t>
      </w:r>
      <w:r>
        <w:br/>
      </w:r>
      <w:r>
        <w:br/>
        <w:t>Примечание 2 - См. также 702.522.8 и 702.55.101.</w:t>
      </w:r>
      <w:r>
        <w:br/>
      </w:r>
      <w:r>
        <w:br/>
      </w:r>
      <w:r>
        <w:br/>
      </w:r>
      <w:proofErr w:type="gramStart"/>
      <w:r>
        <w:t>Сторонние проводящие части - проводящие части, не являющиеся частью электрической установки, но на которых возможно появление электрического потенциала, включая электрический потенциал локальной земли; для настоящего стандарта это потенциал, занесенный из вне по отношению к зонам 0, 1 и 2 в эти зоны.</w:t>
      </w:r>
      <w:proofErr w:type="gramEnd"/>
      <w:r>
        <w:br/>
      </w:r>
      <w:r>
        <w:br/>
        <w:t>Примечание 3 - Такими частями могут быть, например:</w:t>
      </w:r>
      <w:r>
        <w:br/>
      </w:r>
    </w:p>
    <w:p w:rsidR="000F6513" w:rsidRDefault="000F6513" w:rsidP="000F6513">
      <w:pPr>
        <w:pStyle w:val="formattext"/>
      </w:pPr>
      <w:r>
        <w:t xml:space="preserve">- металлические трубопроводы для водоснабжения, водоотведения, газа, отопления, </w:t>
      </w:r>
      <w:proofErr w:type="spellStart"/>
      <w:r>
        <w:t>климатконтроля</w:t>
      </w:r>
      <w:proofErr w:type="spellEnd"/>
      <w:r>
        <w:t>,</w:t>
      </w:r>
      <w:r>
        <w:br/>
      </w:r>
      <w:r>
        <w:br/>
        <w:t>- металлические конструкции зданий,</w:t>
      </w:r>
      <w:r>
        <w:br/>
      </w:r>
      <w:r>
        <w:br/>
        <w:t>- металлические конструкции ванны,</w:t>
      </w:r>
      <w:r>
        <w:br/>
      </w:r>
      <w:r>
        <w:br/>
        <w:t>- металлическое укрепление неизолированных полов,</w:t>
      </w:r>
      <w:r>
        <w:br/>
      </w:r>
      <w:r>
        <w:br/>
        <w:t>- металлическая арматура железобетонной ванны.</w:t>
      </w:r>
      <w:r>
        <w:br/>
      </w:r>
      <w:r>
        <w:br/>
      </w:r>
      <w:r>
        <w:br/>
        <w:t>Полы, выполненные из керамической плитки, крепление которых полностью закрыто плиткой и недоступно без повреждения плитки, не рассматривают как сторонние проводящие части и не включают в систему дополнительного уравнивания потенциалов.</w:t>
      </w:r>
      <w:r>
        <w:br/>
      </w:r>
      <w:r>
        <w:br/>
        <w:t>Отдельные плитки без металлического крепления, облицовочную плитку и плитку, уложенную на грунте (например, на лужайке), не рассматривают как сторонние проводящие части и не включают в систему дополнительного уравнивания потенциалов.</w:t>
      </w:r>
      <w:r>
        <w:br/>
      </w:r>
      <w:r>
        <w:br/>
        <w:t>Примечание 4 - Следующие проводящие части обычно не включают в систему дополнительного уравнивания потенциалов:</w:t>
      </w:r>
      <w:r>
        <w:br/>
      </w:r>
      <w:r>
        <w:br/>
        <w:t>- лестницы ванны и барьеры;</w:t>
      </w:r>
      <w:r>
        <w:br/>
      </w:r>
      <w:r>
        <w:br/>
        <w:t>- погруженные лестницы;</w:t>
      </w:r>
      <w:r>
        <w:br/>
      </w:r>
      <w:r>
        <w:br/>
        <w:t>- перила и захваты на обрамлении ванны;</w:t>
      </w:r>
      <w:r>
        <w:br/>
      </w:r>
      <w:r>
        <w:br/>
        <w:t>- защитные сетки, в том числе сетки на проемах труб перелива;</w:t>
      </w:r>
      <w:r>
        <w:br/>
      </w:r>
      <w:r>
        <w:br/>
        <w:t>- рамы окон;</w:t>
      </w:r>
      <w:r>
        <w:br/>
      </w:r>
      <w:r>
        <w:br/>
        <w:t>- дверные проемы;</w:t>
      </w:r>
      <w:r>
        <w:br/>
      </w:r>
      <w:r>
        <w:br/>
        <w:t>- стартовые тумбы.</w:t>
      </w:r>
      <w:r>
        <w:br/>
      </w:r>
      <w:r>
        <w:br/>
      </w:r>
    </w:p>
    <w:p w:rsidR="000F6513" w:rsidRDefault="000F6513" w:rsidP="000F6513">
      <w:pPr>
        <w:pStyle w:val="2"/>
      </w:pPr>
      <w:r>
        <w:lastRenderedPageBreak/>
        <w:t>702.5 Выбор и монтаж электрооборудования</w:t>
      </w:r>
    </w:p>
    <w:p w:rsidR="000F6513" w:rsidRDefault="000F6513" w:rsidP="000F6513">
      <w:pPr>
        <w:pStyle w:val="formattext"/>
      </w:pPr>
      <w:r>
        <w:rPr>
          <w:b/>
          <w:bCs/>
        </w:rPr>
        <w:t>702.51 Общие требования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702.512 Условия эксплуатации и внешние воздействия</w:t>
      </w:r>
      <w:proofErr w:type="gramStart"/>
      <w:r>
        <w:br/>
      </w:r>
      <w:r>
        <w:br/>
        <w:t>П</w:t>
      </w:r>
      <w:proofErr w:type="gramEnd"/>
      <w:r>
        <w:t>рименяют МЭК 60364-5-51 [2] (подраздел 512.2) со следующим дополнением: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702.512.2 Внешние воздействия</w:t>
      </w:r>
      <w:r>
        <w:br/>
      </w:r>
      <w:r>
        <w:br/>
        <w:t xml:space="preserve">Степень защиты электрооборудования IP должна быть не </w:t>
      </w:r>
      <w:proofErr w:type="gramStart"/>
      <w:r>
        <w:t>ниже указанной</w:t>
      </w:r>
      <w:proofErr w:type="gramEnd"/>
      <w:r>
        <w:t xml:space="preserve"> в таблице 702.1.</w:t>
      </w:r>
      <w:r>
        <w:br/>
      </w:r>
      <w:r>
        <w:br/>
      </w:r>
      <w:r>
        <w:br/>
        <w:t>Таблица 702.1 - Минимальная степень защиты установленного электрооборудования для зон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3"/>
        <w:gridCol w:w="2009"/>
        <w:gridCol w:w="1935"/>
        <w:gridCol w:w="1918"/>
        <w:gridCol w:w="1950"/>
      </w:tblGrid>
      <w:tr w:rsidR="000F6513" w:rsidTr="000F6513">
        <w:trPr>
          <w:trHeight w:val="15"/>
          <w:tblCellSpacing w:w="15" w:type="dxa"/>
        </w:trPr>
        <w:tc>
          <w:tcPr>
            <w:tcW w:w="1663" w:type="dxa"/>
            <w:vAlign w:val="center"/>
            <w:hideMark/>
          </w:tcPr>
          <w:p w:rsidR="000F6513" w:rsidRDefault="000F6513">
            <w:pPr>
              <w:rPr>
                <w:sz w:val="2"/>
                <w:szCs w:val="24"/>
              </w:rPr>
            </w:pPr>
          </w:p>
        </w:tc>
        <w:tc>
          <w:tcPr>
            <w:tcW w:w="2402" w:type="dxa"/>
            <w:vAlign w:val="center"/>
            <w:hideMark/>
          </w:tcPr>
          <w:p w:rsidR="000F6513" w:rsidRDefault="000F6513">
            <w:pPr>
              <w:rPr>
                <w:sz w:val="2"/>
                <w:szCs w:val="24"/>
              </w:rPr>
            </w:pPr>
          </w:p>
        </w:tc>
        <w:tc>
          <w:tcPr>
            <w:tcW w:w="2402" w:type="dxa"/>
            <w:vAlign w:val="center"/>
            <w:hideMark/>
          </w:tcPr>
          <w:p w:rsidR="000F6513" w:rsidRDefault="000F6513">
            <w:pPr>
              <w:rPr>
                <w:sz w:val="2"/>
                <w:szCs w:val="24"/>
              </w:rPr>
            </w:pPr>
          </w:p>
        </w:tc>
        <w:tc>
          <w:tcPr>
            <w:tcW w:w="2218" w:type="dxa"/>
            <w:vAlign w:val="center"/>
            <w:hideMark/>
          </w:tcPr>
          <w:p w:rsidR="000F6513" w:rsidRDefault="000F6513">
            <w:pPr>
              <w:rPr>
                <w:sz w:val="2"/>
                <w:szCs w:val="24"/>
              </w:rPr>
            </w:pPr>
          </w:p>
        </w:tc>
        <w:tc>
          <w:tcPr>
            <w:tcW w:w="2402" w:type="dxa"/>
            <w:vAlign w:val="center"/>
            <w:hideMark/>
          </w:tcPr>
          <w:p w:rsidR="000F6513" w:rsidRDefault="000F6513">
            <w:pPr>
              <w:rPr>
                <w:sz w:val="2"/>
                <w:szCs w:val="24"/>
              </w:rPr>
            </w:pPr>
          </w:p>
        </w:tc>
      </w:tr>
      <w:tr w:rsidR="000F6513" w:rsidTr="000F6513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Обозначение зоны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 xml:space="preserve">Установка снаружи с применением </w:t>
            </w:r>
            <w:proofErr w:type="spellStart"/>
            <w:r>
              <w:t>водоструев</w:t>
            </w:r>
            <w:proofErr w:type="spellEnd"/>
            <w:r>
              <w:t xml:space="preserve"> для очистки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 xml:space="preserve">Установка снаружи без применения </w:t>
            </w:r>
            <w:proofErr w:type="spellStart"/>
            <w:r>
              <w:t>водоструев</w:t>
            </w:r>
            <w:proofErr w:type="spell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 xml:space="preserve">Внутри с применением </w:t>
            </w:r>
            <w:proofErr w:type="spellStart"/>
            <w:r>
              <w:t>водоструев</w:t>
            </w:r>
            <w:proofErr w:type="spellEnd"/>
            <w:r>
              <w:t xml:space="preserve"> для очистки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 xml:space="preserve">Внутри без применения </w:t>
            </w:r>
            <w:proofErr w:type="spellStart"/>
            <w:r>
              <w:t>водоструев</w:t>
            </w:r>
            <w:proofErr w:type="spellEnd"/>
          </w:p>
        </w:tc>
      </w:tr>
      <w:tr w:rsidR="000F6513" w:rsidTr="000F6513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IPX5/IPX8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IPX8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IPX5/IPX8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IPX8</w:t>
            </w:r>
          </w:p>
        </w:tc>
      </w:tr>
      <w:tr w:rsidR="000F6513" w:rsidTr="000F6513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IPX5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IPX4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IPX5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IPX4</w:t>
            </w:r>
          </w:p>
        </w:tc>
      </w:tr>
      <w:tr w:rsidR="000F6513" w:rsidTr="000F6513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IPX5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IPX4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IPX5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IPX2</w:t>
            </w:r>
          </w:p>
        </w:tc>
      </w:tr>
    </w:tbl>
    <w:p w:rsidR="000F6513" w:rsidRDefault="000F6513" w:rsidP="000F6513">
      <w:pPr>
        <w:pStyle w:val="formattext"/>
      </w:pPr>
      <w:r>
        <w:br/>
        <w:t>Примечание 1 - МЭК 60529 устанавливает, что условия испытаний для электрооборудования со степенью защиты IPX8 при отсутствии соответствующего стандарта являются предметом соглашения между изготовителем и пользователем.</w:t>
      </w:r>
      <w:r>
        <w:br/>
      </w:r>
      <w:r>
        <w:br/>
        <w:t xml:space="preserve">Примечание 2 - Для зоны 0, где предполагается применение </w:t>
      </w:r>
      <w:proofErr w:type="spellStart"/>
      <w:r>
        <w:t>водоструев</w:t>
      </w:r>
      <w:proofErr w:type="spellEnd"/>
      <w:r>
        <w:t xml:space="preserve"> во время операций по очистке, должна быть обеспечена степень защиты IPX5 (чтобы гарантировать защиту во время процесса очистки) и IPX8 (чтобы гарантировать защиту от погружения в воду) (</w:t>
      </w:r>
      <w:proofErr w:type="gramStart"/>
      <w:r>
        <w:t>см</w:t>
      </w:r>
      <w:proofErr w:type="gramEnd"/>
      <w:r>
        <w:t>. раздел 4.3 МЭК 60529:1989). Одновременное применение степеней защиты IРХ5 и IPX8 необходимо в связи с тем, что IPX8 не обеспечивает защиту от водяных струй.</w:t>
      </w:r>
      <w:r>
        <w:br/>
      </w:r>
      <w:r>
        <w:br/>
      </w:r>
    </w:p>
    <w:p w:rsidR="000F6513" w:rsidRDefault="000F6513" w:rsidP="000F6513">
      <w:pPr>
        <w:pStyle w:val="2"/>
      </w:pPr>
      <w:r>
        <w:t>702.52 Электропроводки</w:t>
      </w:r>
    </w:p>
    <w:p w:rsidR="000F6513" w:rsidRDefault="000F6513" w:rsidP="000F6513">
      <w:pPr>
        <w:pStyle w:val="formattext"/>
      </w:pPr>
      <w:r>
        <w:rPr>
          <w:b/>
          <w:bCs/>
        </w:rPr>
        <w:t>702.522 Выбор и монтаж в соответствии с внешними воздействиями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702.522.8 Другие механические воздействия</w:t>
      </w:r>
      <w:proofErr w:type="gramStart"/>
      <w:r>
        <w:br/>
      </w:r>
      <w:r>
        <w:br/>
      </w:r>
      <w:r>
        <w:lastRenderedPageBreak/>
        <w:t>П</w:t>
      </w:r>
      <w:proofErr w:type="gramEnd"/>
      <w:r>
        <w:t>рименяют МЭК 60364-5-52[3] (подраздел 522.8) со следующим дополнением:</w:t>
      </w:r>
      <w:r>
        <w:br/>
      </w:r>
    </w:p>
    <w:p w:rsidR="000F6513" w:rsidRDefault="000F6513" w:rsidP="000F6513">
      <w:pPr>
        <w:pStyle w:val="formattext"/>
      </w:pPr>
      <w:r>
        <w:t>702.522.8.101 Монтаж в отдельных зонах</w:t>
      </w:r>
      <w:proofErr w:type="gramStart"/>
      <w:r>
        <w:br/>
      </w:r>
      <w:r>
        <w:br/>
        <w:t>В</w:t>
      </w:r>
      <w:proofErr w:type="gramEnd"/>
      <w:r>
        <w:t xml:space="preserve"> зонах 0, 1 и 2 электропроводки не должны иметь доступного металлического покрытия. Недоступные металлические покрытия должны быть соединены с системой дополнительного уравнивания потенциалов.</w:t>
      </w:r>
      <w:r>
        <w:br/>
      </w:r>
      <w:r>
        <w:br/>
        <w:t>Примечание - Кабели должны быть смонтированы в трубах, чтобы облегчить их замену.</w:t>
      </w:r>
      <w:r>
        <w:br/>
      </w:r>
      <w:r>
        <w:br/>
      </w:r>
    </w:p>
    <w:p w:rsidR="000F6513" w:rsidRDefault="000F6513" w:rsidP="000F6513">
      <w:pPr>
        <w:pStyle w:val="formattext"/>
      </w:pPr>
      <w:r>
        <w:t>702.522.8.102 Ограничения на выполнение электропроводок в отдельных зонах</w:t>
      </w:r>
      <w:proofErr w:type="gramStart"/>
      <w:r>
        <w:br/>
      </w:r>
      <w:r>
        <w:br/>
        <w:t>В</w:t>
      </w:r>
      <w:proofErr w:type="gramEnd"/>
      <w:r>
        <w:t xml:space="preserve"> зонах 0 и 1 выполняют только электропроводки для питания оборудования, расположенного в этих зонах.</w:t>
      </w:r>
      <w:r>
        <w:br/>
      </w:r>
      <w:r>
        <w:br/>
      </w:r>
      <w:proofErr w:type="gramStart"/>
      <w:r>
        <w:t>Цепи, монтируемые в зоне 2 или в стенах, потолках или полах, разграничивающих зоны 0, 1 или 2 и питающие оборудование, расположенное вне этих зон, должны быть:</w:t>
      </w:r>
      <w:r>
        <w:br/>
      </w:r>
      <w:r>
        <w:br/>
        <w:t xml:space="preserve">- </w:t>
      </w:r>
      <w:proofErr w:type="spellStart"/>
      <w:r>
        <w:t>замоноличены</w:t>
      </w:r>
      <w:proofErr w:type="spellEnd"/>
      <w:r>
        <w:t xml:space="preserve"> на глубину не менее 5 см; или</w:t>
      </w:r>
      <w:r>
        <w:br/>
      </w:r>
      <w:r>
        <w:br/>
        <w:t>- защищены устройством защиты дифференциального тока с дифференциальным током срабатывания, не превышающим 30 мА; или</w:t>
      </w:r>
      <w:r>
        <w:br/>
      </w:r>
      <w:r>
        <w:br/>
        <w:t>- защищены с помощью системы БСНН;</w:t>
      </w:r>
      <w:proofErr w:type="gramEnd"/>
      <w:r>
        <w:t xml:space="preserve"> или</w:t>
      </w:r>
      <w:r>
        <w:br/>
      </w:r>
      <w:r>
        <w:br/>
        <w:t xml:space="preserve">- </w:t>
      </w:r>
      <w:proofErr w:type="gramStart"/>
      <w:r>
        <w:t>защищены</w:t>
      </w:r>
      <w:proofErr w:type="gramEnd"/>
      <w:r>
        <w:t xml:space="preserve"> электрическим разделением цепей.</w:t>
      </w:r>
      <w:r>
        <w:br/>
      </w:r>
    </w:p>
    <w:p w:rsidR="000F6513" w:rsidRDefault="000F6513" w:rsidP="000F6513">
      <w:pPr>
        <w:pStyle w:val="formattext"/>
      </w:pPr>
      <w:r>
        <w:t>702.522.8.103 Дополнительные требования для электропроводок фонтанов</w:t>
      </w:r>
      <w:proofErr w:type="gramStart"/>
      <w:r>
        <w:br/>
      </w:r>
      <w:r>
        <w:br/>
        <w:t>Д</w:t>
      </w:r>
      <w:proofErr w:type="gramEnd"/>
      <w:r>
        <w:t>опускается использование кабелей типа 66 по МЭК 60245 или с аналогичными характеристиками.</w:t>
      </w:r>
      <w:r>
        <w:br/>
      </w:r>
      <w:r>
        <w:br/>
        <w:t>Примечание - Пригодность кабелей для постоянного контакта с водой должна быть заявлена изготовителем кабеля и, кроме того, соответствовать требованиям МЭК 60245-1 и МЭК 60245-4 [4].</w:t>
      </w:r>
      <w:r>
        <w:br/>
      </w:r>
      <w:r>
        <w:br/>
      </w:r>
      <w:r>
        <w:br/>
        <w:t>Для прокладки кабелей должны использоваться только трубы, соответствующие МЭК 61386-1 с классификационным кодом Х5ХХ относительно механических воздействий.</w:t>
      </w:r>
      <w:r>
        <w:br/>
      </w:r>
      <w:r>
        <w:br/>
        <w:t>Для фонтанов, не предназначенных для нахождения людей, должны выполняться следующие дополнительные требования:</w:t>
      </w:r>
      <w:r>
        <w:br/>
      </w:r>
    </w:p>
    <w:p w:rsidR="000F6513" w:rsidRDefault="000F6513" w:rsidP="000F6513">
      <w:pPr>
        <w:pStyle w:val="formattext"/>
      </w:pPr>
      <w:proofErr w:type="spellStart"/>
      <w:r>
        <w:t>a</w:t>
      </w:r>
      <w:proofErr w:type="spellEnd"/>
      <w:r>
        <w:t xml:space="preserve">) кабели или изолированные провода в неметаллических трубах для подключения электрооборудования в зоне 0 должны быть смонтированы далеко, насколько это возможно, от обрамления ванны и проложены к электрическому оборудованию в ванне </w:t>
      </w:r>
      <w:r>
        <w:lastRenderedPageBreak/>
        <w:t>кратчайшим путем. Кабели следует прокладывать в трубах, чтобы облегчить их замену;</w:t>
      </w:r>
      <w:r>
        <w:br/>
      </w:r>
    </w:p>
    <w:p w:rsidR="000F6513" w:rsidRDefault="000F6513" w:rsidP="000F6513">
      <w:pPr>
        <w:pStyle w:val="formattext"/>
      </w:pPr>
      <w:proofErr w:type="spellStart"/>
      <w:r>
        <w:t>b</w:t>
      </w:r>
      <w:proofErr w:type="spellEnd"/>
      <w:r>
        <w:t>) в зонах 0 и 1 кабели или изолированные провода следует прокладывать в неметаллических трубах с соответствующей механической защитой.</w:t>
      </w:r>
      <w:r>
        <w:br/>
      </w:r>
    </w:p>
    <w:p w:rsidR="000F6513" w:rsidRDefault="000F6513" w:rsidP="000F6513">
      <w:pPr>
        <w:pStyle w:val="formattext"/>
      </w:pPr>
      <w:r>
        <w:t>702.522.8.104 Соединительные коробки</w:t>
      </w:r>
      <w:r>
        <w:br/>
      </w:r>
      <w:r>
        <w:br/>
        <w:t>Соединительные коробки не должны быть установлены в зоне 0.</w:t>
      </w:r>
      <w:r>
        <w:br/>
      </w:r>
      <w:r>
        <w:br/>
        <w:t>В зоне 1 допускается установка соединительных коробок для цепей БСНН (см. 702.410.3.101).</w:t>
      </w:r>
      <w:r>
        <w:br/>
      </w:r>
      <w:r>
        <w:br/>
      </w:r>
    </w:p>
    <w:p w:rsidR="000F6513" w:rsidRDefault="000F6513" w:rsidP="000F6513">
      <w:pPr>
        <w:pStyle w:val="2"/>
      </w:pPr>
      <w:r>
        <w:t>702.53 Аппаратура коммутации и управления</w:t>
      </w:r>
    </w:p>
    <w:p w:rsidR="000F6513" w:rsidRDefault="000F6513" w:rsidP="000F6513">
      <w:pPr>
        <w:pStyle w:val="formattext"/>
      </w:pPr>
      <w:r>
        <w:t>Применяют МЭК 60364-5-53 [5] со следующим дополнением:</w:t>
      </w:r>
      <w:r>
        <w:br/>
      </w:r>
      <w:r>
        <w:br/>
        <w:t>В зоне 0 не должна быть установлена аппаратура коммутации или управления, включая розетки.</w:t>
      </w:r>
      <w:r>
        <w:br/>
      </w:r>
      <w:r>
        <w:br/>
        <w:t>В зоне 1 аппаратура коммутации, управления и розетки могут быть установлены только для цепей БСНН, источник питания которых установлен вне зон 0 и 1. Если источник питания системы БСНН установлен в зоне 2, его цепи питания должны быть защищены устройством защиты дифференциального тока с дифференциальным током срабатывания, не превышающим 30 мА.</w:t>
      </w:r>
      <w:r>
        <w:br/>
      </w:r>
      <w:r>
        <w:br/>
        <w:t>В зоне 2 установка аппаратуры коммутации, управления и розеток не допускается, если не выполнена одна из следующих защитных мер:</w:t>
      </w:r>
      <w:r>
        <w:br/>
      </w:r>
    </w:p>
    <w:p w:rsidR="000F6513" w:rsidRDefault="000F6513" w:rsidP="000F6513">
      <w:pPr>
        <w:pStyle w:val="formattext"/>
      </w:pPr>
      <w:proofErr w:type="spellStart"/>
      <w:r>
        <w:t>a</w:t>
      </w:r>
      <w:proofErr w:type="spellEnd"/>
      <w:r>
        <w:t>) система БСНН (см. п.414.3 МЭК 60364-4-41:2005), источник питания устанавливается снаружи зоны 0 и 1. Если источник питания системы БСНН устанавливается в зоне 2, его цепи питания должны быть защищены; или</w:t>
      </w:r>
      <w:r>
        <w:br/>
      </w:r>
    </w:p>
    <w:p w:rsidR="000F6513" w:rsidRDefault="000F6513" w:rsidP="000F6513">
      <w:pPr>
        <w:pStyle w:val="formattext"/>
      </w:pPr>
      <w:proofErr w:type="spellStart"/>
      <w:r>
        <w:t>b</w:t>
      </w:r>
      <w:proofErr w:type="spellEnd"/>
      <w:r>
        <w:t>) автоматическое отключение питания с дополнительной защитой (</w:t>
      </w:r>
      <w:proofErr w:type="gramStart"/>
      <w:r>
        <w:t>см</w:t>
      </w:r>
      <w:proofErr w:type="gramEnd"/>
      <w:r>
        <w:t>. 415.1 МЭК 60364-4-41:2005), с использованием защитного устройства дифференциального тока с дифференциальным током срабатывания, не превышающим 30 мА; или</w:t>
      </w:r>
      <w:r>
        <w:br/>
      </w:r>
    </w:p>
    <w:p w:rsidR="000F6513" w:rsidRDefault="000F6513" w:rsidP="000F6513">
      <w:pPr>
        <w:pStyle w:val="formattext"/>
      </w:pPr>
      <w:proofErr w:type="spellStart"/>
      <w:r>
        <w:t>c</w:t>
      </w:r>
      <w:proofErr w:type="spellEnd"/>
      <w:r>
        <w:t>) электрическим разделением цепей (</w:t>
      </w:r>
      <w:proofErr w:type="gramStart"/>
      <w:r>
        <w:t>см</w:t>
      </w:r>
      <w:proofErr w:type="gramEnd"/>
      <w:r>
        <w:t>. раздел 413 60364-4-41), с индивидуальным разделительным трансформатором, который устанавливается вне зон 0 и 1. Если трансформатор для электрического разделения устанавливается в зоне 2, его цепи питания должны быть защищены устройством защиты дифференциального тока с дифференциальным током срабатывания, не превышающим 30 мА.</w:t>
      </w:r>
      <w:r>
        <w:br/>
      </w:r>
      <w:r>
        <w:br/>
      </w:r>
    </w:p>
    <w:p w:rsidR="000F6513" w:rsidRDefault="000F6513" w:rsidP="000F6513">
      <w:pPr>
        <w:pStyle w:val="2"/>
      </w:pPr>
      <w:r>
        <w:lastRenderedPageBreak/>
        <w:t>702.55 Прочее оборудование</w:t>
      </w:r>
    </w:p>
    <w:p w:rsidR="000F6513" w:rsidRDefault="000F6513" w:rsidP="000F6513">
      <w:pPr>
        <w:pStyle w:val="formattext"/>
      </w:pPr>
      <w:r>
        <w:t>Применяют МЭК 6-364-5-55[6] со следующим дополнением: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 xml:space="preserve">702.55.101 </w:t>
      </w:r>
      <w:proofErr w:type="spellStart"/>
      <w:r>
        <w:rPr>
          <w:b/>
          <w:bCs/>
        </w:rPr>
        <w:t>Электроприемники</w:t>
      </w:r>
      <w:proofErr w:type="spellEnd"/>
      <w:r>
        <w:rPr>
          <w:b/>
          <w:bCs/>
        </w:rPr>
        <w:t xml:space="preserve"> плавательных бассейнов</w:t>
      </w:r>
      <w:r>
        <w:br/>
      </w:r>
    </w:p>
    <w:p w:rsidR="000F6513" w:rsidRDefault="000F6513" w:rsidP="000F6513">
      <w:pPr>
        <w:pStyle w:val="formattext"/>
      </w:pPr>
      <w:r>
        <w:t>702.55.101.1</w:t>
      </w:r>
      <w:proofErr w:type="gramStart"/>
      <w:r>
        <w:t xml:space="preserve"> В</w:t>
      </w:r>
      <w:proofErr w:type="gramEnd"/>
      <w:r>
        <w:t xml:space="preserve"> зонах 0 и 1 следует применять стационарные электроприборы и, в первую очередь, специально разработанные для применения в плавательных бассейнах, с учетом требований 702.55.102 и 702.55.104.</w:t>
      </w:r>
      <w:r>
        <w:br/>
      </w:r>
    </w:p>
    <w:p w:rsidR="000F6513" w:rsidRDefault="000F6513" w:rsidP="000F6513">
      <w:pPr>
        <w:pStyle w:val="formattext"/>
      </w:pPr>
      <w:r>
        <w:t>702.55.101.2</w:t>
      </w:r>
      <w:proofErr w:type="gramStart"/>
      <w:r>
        <w:t xml:space="preserve"> Е</w:t>
      </w:r>
      <w:proofErr w:type="gramEnd"/>
      <w:r>
        <w:t>сли предполагается установка стационарно присоединенного оборудования для очистки бассейна в зонах 0 и 1, должна быть применена система БСНН напряжением, не превышающим 12 В переменного тока или 30 В постоянного тока с источником питания, установленным вне зон 0 и 1. Если источник питания устанавливается в зоне 2, должны быть выполнены требования 702.53 (см. 702.410.3.101.1).</w:t>
      </w:r>
      <w:r>
        <w:br/>
      </w:r>
    </w:p>
    <w:p w:rsidR="000F6513" w:rsidRDefault="000F6513" w:rsidP="000F6513">
      <w:pPr>
        <w:pStyle w:val="formattext"/>
      </w:pPr>
      <w:r>
        <w:t>702.55.101.3 Питающие насосы или другое специальное электрооборудование, предназначенное для установки в плавательных бассейнах и расположенное в комнатах или помещениях, смежных с бассейном с доступом через люк (или дверь), расположенным на настиле, окружающем бассейн, должны быть защищены одним из следующих способов:</w:t>
      </w:r>
      <w:r>
        <w:br/>
      </w:r>
    </w:p>
    <w:p w:rsidR="000F6513" w:rsidRDefault="000F6513" w:rsidP="000F6513">
      <w:pPr>
        <w:pStyle w:val="formattext"/>
      </w:pPr>
      <w:proofErr w:type="spellStart"/>
      <w:r>
        <w:t>a</w:t>
      </w:r>
      <w:proofErr w:type="spellEnd"/>
      <w:r>
        <w:t>) системой БСНН напряжением, не превышающим 12</w:t>
      </w:r>
      <w:proofErr w:type="gramStart"/>
      <w:r>
        <w:t xml:space="preserve"> В</w:t>
      </w:r>
      <w:proofErr w:type="gramEnd"/>
      <w:r>
        <w:t xml:space="preserve"> переменного тока или 30 В постоянного тока с источником питания, установленным вне зоны 2. Если источник питания устанавливается в зоне 2, должны выполняться требования 702.53 (см. 702.410.3.101.1),</w:t>
      </w:r>
      <w:r>
        <w:br/>
      </w:r>
    </w:p>
    <w:p w:rsidR="000F6513" w:rsidRDefault="000F6513" w:rsidP="000F6513">
      <w:pPr>
        <w:pStyle w:val="formattext"/>
      </w:pPr>
      <w:proofErr w:type="spellStart"/>
      <w:proofErr w:type="gramStart"/>
      <w:r>
        <w:t>b</w:t>
      </w:r>
      <w:proofErr w:type="spellEnd"/>
      <w:r>
        <w:t>) электрическим разделением согласно раздела 413 с одновременным выполнением следующих условий:</w:t>
      </w:r>
      <w:r>
        <w:br/>
      </w:r>
      <w:r>
        <w:br/>
        <w:t>- если насос или другое оборудование соединены с бассейном, то соединение должно быть выполнено в электроизоляционных трубах;</w:t>
      </w:r>
      <w:r>
        <w:br/>
      </w:r>
      <w:r>
        <w:br/>
        <w:t>- люк или дверь должна открываться только с помощью ключа или инструмента;</w:t>
      </w:r>
      <w:r>
        <w:br/>
      </w:r>
      <w:r>
        <w:br/>
        <w:t>- степень защиты оборудования, установленного в комнате или помещении, должна быть не ниже IPX5 или такая защита должна быть обеспечена оболочкой.</w:t>
      </w:r>
      <w:r>
        <w:br/>
      </w:r>
      <w:proofErr w:type="gramEnd"/>
    </w:p>
    <w:p w:rsidR="000F6513" w:rsidRDefault="000F6513" w:rsidP="000F6513">
      <w:pPr>
        <w:pStyle w:val="formattext"/>
      </w:pPr>
      <w:proofErr w:type="spellStart"/>
      <w:r>
        <w:t>c</w:t>
      </w:r>
      <w:proofErr w:type="spellEnd"/>
      <w:r>
        <w:t>) автоматическим отключением питания с одновременным выполнением следующего условия:</w:t>
      </w:r>
      <w:r>
        <w:br/>
      </w:r>
      <w:r>
        <w:br/>
        <w:t>- если насос или другое оборудование соединены с бассейном, то соединение должно быть выполнено в электроизоляционных трубах или металлических трубах, соединенных с системой уравнивания потенциалов бассейна;</w:t>
      </w:r>
      <w:r>
        <w:br/>
      </w:r>
      <w:r>
        <w:br/>
      </w:r>
      <w:r>
        <w:lastRenderedPageBreak/>
        <w:t>- люк или дверь должна открываться только с помощью ключа или инструмента;</w:t>
      </w:r>
      <w:r>
        <w:br/>
      </w:r>
      <w:r>
        <w:br/>
        <w:t>- степень защиты оборудования, установленного в комнате или помещении, должна быть не ниже IPX5 или такая защита должна быть обеспечена оболочкой;</w:t>
      </w:r>
      <w:r>
        <w:br/>
      </w:r>
      <w:r>
        <w:br/>
        <w:t>- дополнительное уравнивание потенциалов должно быть выполнено в соответствии с требованиями 702.415.2;</w:t>
      </w:r>
      <w:r>
        <w:br/>
      </w:r>
      <w:r>
        <w:br/>
        <w:t>- оборудование должно быть защищено устройством дифференциального тока с дифференциальным током срабатывания, не превышающим 30 мА.</w:t>
      </w:r>
      <w:r>
        <w:br/>
      </w:r>
      <w:r>
        <w:br/>
        <w:t>Примечание - Помещение, где располагается оборудование, рассматривается как находящееся снаружи зоны 1 и 2.</w:t>
      </w:r>
      <w:r>
        <w:br/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702.55.102 Подводное освещение плавательных бассейнов</w:t>
      </w:r>
      <w:r>
        <w:br/>
      </w:r>
      <w:r>
        <w:br/>
        <w:t>Светильники для установки в воде или в контакте с водой должны соответствовать требованиям МЭК 60598-2-18.</w:t>
      </w:r>
      <w:r>
        <w:br/>
      </w:r>
      <w:r>
        <w:br/>
        <w:t>Подводное освещение, установленное за водонепроницаемыми иллюминаторами и обслуживаемое сзади, должно располагаться таким способом, при котором никакое намеренное или неумышленное действие не приводило бы к возникновению электрической связи между открытыми проводящими частями подводных светильников и проводящими частями иллюминаторов.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702.55.103 Электрооборудование фонтанов</w:t>
      </w:r>
      <w:r>
        <w:br/>
      </w:r>
      <w:r>
        <w:br/>
        <w:t xml:space="preserve">Электрооборудование в зонах 0 и 1 должно быть закрыто (недоступно), </w:t>
      </w:r>
      <w:proofErr w:type="gramStart"/>
      <w:r>
        <w:t>например</w:t>
      </w:r>
      <w:proofErr w:type="gramEnd"/>
      <w:r>
        <w:t xml:space="preserve"> с помощью армированного стекла или сетки, которые могут быть удалены только при помощи инструмента.</w:t>
      </w:r>
      <w:r>
        <w:br/>
      </w:r>
      <w:r>
        <w:br/>
        <w:t>Электрические насосы должны соответствовать требованиям МЭК 60335-2-41.</w:t>
      </w:r>
      <w:r>
        <w:br/>
      </w:r>
    </w:p>
    <w:p w:rsidR="000F6513" w:rsidRDefault="000F6513" w:rsidP="000F6513">
      <w:pPr>
        <w:pStyle w:val="formattext"/>
      </w:pPr>
      <w:r>
        <w:rPr>
          <w:b/>
          <w:bCs/>
        </w:rPr>
        <w:t>702.55.104 Специальные требования к установке низковольтного электрооборудования в зоне 1 плавательных бассейнов</w:t>
      </w:r>
      <w:r>
        <w:br/>
      </w:r>
    </w:p>
    <w:p w:rsidR="000F6513" w:rsidRDefault="000F6513" w:rsidP="000F6513">
      <w:pPr>
        <w:pStyle w:val="formattext"/>
      </w:pPr>
      <w:r>
        <w:t>702.55.104.1 Стационарное оборудование (например, системы фильтрации, циркуляционные насосы), особенно предназначенные для установки в бассейнах и получающих питание от источника низкого напряжения, допускается устанавливать в зоне 1 при выполнении следующих требований:</w:t>
      </w:r>
      <w:r>
        <w:br/>
      </w:r>
    </w:p>
    <w:p w:rsidR="000F6513" w:rsidRDefault="000F6513" w:rsidP="000F6513">
      <w:pPr>
        <w:pStyle w:val="formattext"/>
      </w:pPr>
      <w:proofErr w:type="spellStart"/>
      <w:r>
        <w:t>a</w:t>
      </w:r>
      <w:proofErr w:type="spellEnd"/>
      <w:r>
        <w:t>) оборудование должно быть размещено в оболочке с усиленной изоляцией и защитой от механического воздействия AG2;</w:t>
      </w:r>
      <w:r>
        <w:br/>
      </w:r>
    </w:p>
    <w:p w:rsidR="000F6513" w:rsidRDefault="000F6513" w:rsidP="000F6513">
      <w:pPr>
        <w:pStyle w:val="formattext"/>
      </w:pPr>
      <w:proofErr w:type="spellStart"/>
      <w:r>
        <w:lastRenderedPageBreak/>
        <w:t>b</w:t>
      </w:r>
      <w:proofErr w:type="spellEnd"/>
      <w:r>
        <w:t>) должны выполняться требования 702.55.101.3;</w:t>
      </w:r>
      <w:r>
        <w:br/>
      </w:r>
    </w:p>
    <w:p w:rsidR="000F6513" w:rsidRDefault="000F6513" w:rsidP="000F6513">
      <w:pPr>
        <w:pStyle w:val="formattext"/>
      </w:pPr>
      <w:proofErr w:type="spellStart"/>
      <w:r>
        <w:t>c</w:t>
      </w:r>
      <w:proofErr w:type="spellEnd"/>
      <w:r>
        <w:t>) открытие люка (</w:t>
      </w:r>
      <w:proofErr w:type="gramStart"/>
      <w:r>
        <w:t>см</w:t>
      </w:r>
      <w:proofErr w:type="gramEnd"/>
      <w:r>
        <w:t>. 702.55.101.3) должно приводить к разъединению всех рабочих проводников оборудования, заключенного в оболочку. Питающий кабель и отключающий аппарат должны быть установлены таким образом, чтобы на всем протяжении была обеспечена защита II класса или эквивалентная изоляция.</w:t>
      </w:r>
      <w:r>
        <w:br/>
      </w:r>
    </w:p>
    <w:p w:rsidR="000F6513" w:rsidRDefault="000F6513" w:rsidP="000F6513">
      <w:pPr>
        <w:pStyle w:val="formattext"/>
      </w:pPr>
      <w:r>
        <w:t>702.55.104.2</w:t>
      </w:r>
      <w:proofErr w:type="gramStart"/>
      <w:r>
        <w:t xml:space="preserve"> Д</w:t>
      </w:r>
      <w:proofErr w:type="gramEnd"/>
      <w:r>
        <w:t>ля плавательных бассейнов, в которых отсутствует зона 2, осветительное оборудование, питающееся от цепей, кроме цепей системы БСНН с напряжением, не превышающим 12 В переменного тока или 30 В постоянного тока (см. 702.410.3.101.1), может быть установлено в зоне 1 на стене или на потолке при условии, что выполняются следующие требования:</w:t>
      </w:r>
      <w:r>
        <w:br/>
      </w:r>
      <w:r>
        <w:br/>
        <w:t>- цепь защищена автоматическим отключением питания и дополнительной защитой с применением защитного устройства дифференциального тока с дифференциальным током срабатывания, не превышающим 30 мА, и</w:t>
      </w:r>
      <w:r>
        <w:br/>
      </w:r>
      <w:r>
        <w:br/>
        <w:t>- высота расположения наиболее низкой части осветительного оборудования на высоте не менее 2 м от границы нижерасположенной зоны 1.</w:t>
      </w:r>
      <w:r>
        <w:br/>
      </w:r>
    </w:p>
    <w:p w:rsidR="000F6513" w:rsidRDefault="000F6513" w:rsidP="000F6513">
      <w:pPr>
        <w:pStyle w:val="formattext"/>
      </w:pPr>
      <w:r>
        <w:t>702.55.105 Системы обогрева пола и потолка</w:t>
      </w:r>
      <w:proofErr w:type="gramStart"/>
      <w:r>
        <w:br/>
      </w:r>
      <w:r>
        <w:br/>
        <w:t>П</w:t>
      </w:r>
      <w:proofErr w:type="gramEnd"/>
      <w:r>
        <w:t>рименяют МЭК 60364-7-753 [7].</w:t>
      </w:r>
      <w:r>
        <w:br/>
      </w:r>
      <w:r>
        <w:br/>
        <w:t>Дополнение.</w:t>
      </w:r>
      <w:r>
        <w:br/>
      </w:r>
      <w:r>
        <w:br/>
        <w:t>Модули электрического отопления, встроенные в пол, могут быть установлены при условии, что они защищены:</w:t>
      </w:r>
      <w:r>
        <w:br/>
      </w:r>
      <w:r>
        <w:br/>
        <w:t>- системой БСНН (см. МЭК 60364-4-41, раздел 414) с источником питания, установленным вне зон 0 и 1. Если источник питания установлен в зоне 2, должны быть выполнены требования 702.53; или</w:t>
      </w:r>
      <w:r>
        <w:br/>
      </w:r>
      <w:r>
        <w:br/>
        <w:t>- должны быть выполнены требования по автоматическому отключению питания греющего модуля, который должен быть покрыт заземленной металлической сеткой или иметь заземленную металлическую оболочку, соединенную с дополнительной системой уравнивания потенциалов в соответствии с требованиями 702.415.2. Цепь питания должна быть дополнительно защищена с помощью защитного устройства дифференциального тока с дифференциальным током срабатывания, не превышающим 30 мА.</w:t>
      </w:r>
      <w:r>
        <w:br/>
      </w:r>
      <w:r>
        <w:br/>
      </w:r>
    </w:p>
    <w:p w:rsidR="000F6513" w:rsidRDefault="000F6513" w:rsidP="000F6513">
      <w:pPr>
        <w:pStyle w:val="2"/>
      </w:pPr>
      <w:r>
        <w:t>Приложение A (справочное). Примеры зон</w:t>
      </w:r>
    </w:p>
    <w:p w:rsidR="000F6513" w:rsidRDefault="000F6513" w:rsidP="000F6513">
      <w:pPr>
        <w:pStyle w:val="formattext"/>
        <w:jc w:val="center"/>
      </w:pPr>
      <w:r>
        <w:t>Приложение A</w:t>
      </w:r>
      <w:r>
        <w:br/>
        <w:t>(справочное)</w:t>
      </w:r>
    </w:p>
    <w:p w:rsidR="000F6513" w:rsidRDefault="000F6513" w:rsidP="000F6513">
      <w:pPr>
        <w:pStyle w:val="formattext"/>
      </w:pPr>
      <w:r>
        <w:lastRenderedPageBreak/>
        <w:t>Примечание - Измеренные размеры зон ограничиваются стенами и стационарными перегородками.</w:t>
      </w:r>
      <w:r>
        <w:br/>
      </w:r>
    </w:p>
    <w:p w:rsidR="000F6513" w:rsidRDefault="000F6513" w:rsidP="000F6513">
      <w:pPr>
        <w:pStyle w:val="3"/>
      </w:pPr>
      <w:r>
        <w:t>Рисунок 702.1 - Размеры зон для плавательных бассейнов и лягушатников (вид сбоку)</w:t>
      </w:r>
    </w:p>
    <w:p w:rsidR="000F6513" w:rsidRDefault="000F6513" w:rsidP="000F6513">
      <w:pPr>
        <w:pStyle w:val="formattext"/>
        <w:jc w:val="right"/>
      </w:pPr>
      <w:r>
        <w:t xml:space="preserve">Размеры в метрах </w:t>
      </w:r>
    </w:p>
    <w:p w:rsidR="000F6513" w:rsidRDefault="000F6513" w:rsidP="000F6513">
      <w:pPr>
        <w:pStyle w:val="topleveltext"/>
        <w:jc w:val="center"/>
      </w:pPr>
      <w:r>
        <w:rPr>
          <w:noProof/>
        </w:rPr>
        <w:drawing>
          <wp:inline distT="0" distB="0" distL="0" distR="0">
            <wp:extent cx="6107430" cy="2924175"/>
            <wp:effectExtent l="19050" t="0" r="7620" b="0"/>
            <wp:docPr id="1" name="Рисунок 1" descr="ГОСТ Р 50571.7.702-2013/МЭК 60364-7-702:2010 Электроустановки низковольтные. Часть 7. Требования к специальным установкам или местам их размещения. Раздел 702. Плавательные бассейны и фонта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Т Р 50571.7.702-2013/МЭК 60364-7-702:2010 Электроустановки низковольтные. Часть 7. Требования к специальным установкам или местам их размещения. Раздел 702. Плавательные бассейны и фонта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513" w:rsidRDefault="000F6513" w:rsidP="000F6513">
      <w:pPr>
        <w:pStyle w:val="formattext"/>
        <w:jc w:val="center"/>
      </w:pPr>
      <w:r>
        <w:br/>
        <w:t>Рисунок 702.1 - Размеры зон для плавательных бассейнов и лягушатников (вид сбоку)</w:t>
      </w:r>
    </w:p>
    <w:p w:rsidR="000F6513" w:rsidRDefault="000F6513" w:rsidP="000F6513">
      <w:pPr>
        <w:pStyle w:val="3"/>
      </w:pPr>
      <w:r>
        <w:t>Рисунок 702.2 - Размеры зон для плавательного бассейна, расположенного над уровнем земли (вид сбоку)</w:t>
      </w:r>
    </w:p>
    <w:p w:rsidR="000F6513" w:rsidRDefault="000F6513" w:rsidP="000F6513">
      <w:pPr>
        <w:pStyle w:val="formattext"/>
        <w:jc w:val="right"/>
      </w:pPr>
      <w:r>
        <w:t xml:space="preserve">Размеры в метрах </w:t>
      </w:r>
    </w:p>
    <w:p w:rsidR="000F6513" w:rsidRDefault="000F6513" w:rsidP="000F6513">
      <w:pPr>
        <w:pStyle w:val="topleveltext"/>
        <w:jc w:val="center"/>
      </w:pPr>
      <w:r>
        <w:rPr>
          <w:noProof/>
        </w:rPr>
        <w:drawing>
          <wp:inline distT="0" distB="0" distL="0" distR="0">
            <wp:extent cx="6047105" cy="2700020"/>
            <wp:effectExtent l="19050" t="0" r="0" b="0"/>
            <wp:docPr id="2" name="Рисунок 2" descr="ГОСТ Р 50571.7.702-2013/МЭК 60364-7-702:2010 Электроустановки низковольтные. Часть 7. Требования к специальным установкам или местам их размещения. Раздел 702. Плавательные бассейны и фонта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СТ Р 50571.7.702-2013/МЭК 60364-7-702:2010 Электроустановки низковольтные. Часть 7. Требования к специальным установкам или местам их размещения. Раздел 702. Плавательные бассейны и фонта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513" w:rsidRDefault="000F6513" w:rsidP="000F6513">
      <w:pPr>
        <w:pStyle w:val="formattext"/>
      </w:pPr>
      <w:r>
        <w:lastRenderedPageBreak/>
        <w:br/>
        <w:t>Примечание - Размеры зон ограничиваются стенами и стационарными перегородками.</w:t>
      </w:r>
      <w:r>
        <w:br/>
      </w:r>
    </w:p>
    <w:p w:rsidR="000F6513" w:rsidRDefault="000F6513" w:rsidP="000F6513">
      <w:pPr>
        <w:pStyle w:val="formattext"/>
        <w:jc w:val="center"/>
      </w:pPr>
      <w:r>
        <w:t>Рисунок 702.2 - Размеры зон для плавательного бассейна, расположенного над уровнем земли (вид сбоку)</w:t>
      </w:r>
    </w:p>
    <w:p w:rsidR="000F6513" w:rsidRDefault="000F6513" w:rsidP="000F6513">
      <w:pPr>
        <w:pStyle w:val="3"/>
      </w:pPr>
      <w:r>
        <w:t>Рисунок 702.3 - Примеры размеров зон (вид сверху) со стационарными перегородками высотой не менее 2,5 м (см. рисунок 701.1 МЭК 60364-7-701:2006 для помещений, содержащих ванны)</w:t>
      </w:r>
    </w:p>
    <w:p w:rsidR="000F6513" w:rsidRDefault="000F6513" w:rsidP="000F6513">
      <w:pPr>
        <w:pStyle w:val="formattext"/>
        <w:jc w:val="right"/>
      </w:pPr>
      <w:r>
        <w:t xml:space="preserve">Размеры в метрах </w:t>
      </w:r>
    </w:p>
    <w:p w:rsidR="000F6513" w:rsidRDefault="000F6513" w:rsidP="000F6513">
      <w:pPr>
        <w:pStyle w:val="topleveltext"/>
        <w:jc w:val="center"/>
      </w:pPr>
      <w:r>
        <w:rPr>
          <w:noProof/>
          <w:color w:val="0000FF"/>
        </w:rPr>
        <w:drawing>
          <wp:inline distT="0" distB="0" distL="0" distR="0">
            <wp:extent cx="6193790" cy="3459480"/>
            <wp:effectExtent l="19050" t="0" r="0" b="0"/>
            <wp:docPr id="3" name="Рисунок 3" descr="ГОСТ Р 50571.7.702-2013/МЭК 60364-7-702:2010 Электроустановки низковольтные. Часть 7. Требования к специальным установкам или местам их размещения. Раздел 702. Плавательные бассейны и фонтаны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СТ Р 50571.7.702-2013/МЭК 60364-7-702:2010 Электроустановки низковольтные. Часть 7. Требования к специальным установкам или местам их размещения. Раздел 702. Плавательные бассейны и фонтаны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345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513" w:rsidRDefault="000F6513" w:rsidP="000F6513">
      <w:pPr>
        <w:pStyle w:val="formattext"/>
      </w:pPr>
      <w:r>
        <w:br/>
        <w:t>Примечание - Радиус границы для минимального расстояния в этом случае может быть определенной длины.</w:t>
      </w:r>
      <w:r>
        <w:br/>
      </w:r>
    </w:p>
    <w:p w:rsidR="000F6513" w:rsidRDefault="000F6513" w:rsidP="000F6513">
      <w:pPr>
        <w:pStyle w:val="formattext"/>
        <w:spacing w:after="240" w:afterAutospacing="0"/>
        <w:jc w:val="center"/>
      </w:pPr>
      <w:r>
        <w:t>Рисунок 702.3 - Примеры размеров зон (вид сверху) со стационарными перегородками высотой не менее 2,5 м (</w:t>
      </w:r>
      <w:r>
        <w:rPr>
          <w:i/>
          <w:iCs/>
        </w:rPr>
        <w:t>см. рисунок 701.1 МЭК 60364-7-701:2006 для помещений, содержащих ванны</w:t>
      </w:r>
      <w:r>
        <w:t>)</w:t>
      </w:r>
    </w:p>
    <w:p w:rsidR="000F6513" w:rsidRDefault="000F6513" w:rsidP="000F6513">
      <w:pPr>
        <w:pStyle w:val="3"/>
      </w:pPr>
      <w:r>
        <w:t>Рисунок 702.4 - Пример определения зон фонтана (вид сбоку)</w:t>
      </w:r>
    </w:p>
    <w:p w:rsidR="000F6513" w:rsidRDefault="000F6513" w:rsidP="000F6513">
      <w:pPr>
        <w:pStyle w:val="formattext"/>
        <w:jc w:val="right"/>
      </w:pPr>
      <w:r>
        <w:t xml:space="preserve">Размеры в метрах </w:t>
      </w:r>
    </w:p>
    <w:p w:rsidR="000F6513" w:rsidRDefault="000F6513" w:rsidP="000F6513">
      <w:pPr>
        <w:pStyle w:val="topleveltext"/>
        <w:jc w:val="center"/>
      </w:pPr>
      <w:r>
        <w:rPr>
          <w:noProof/>
          <w:color w:val="0000FF"/>
        </w:rPr>
        <w:lastRenderedPageBreak/>
        <w:drawing>
          <wp:inline distT="0" distB="0" distL="0" distR="0">
            <wp:extent cx="6193790" cy="3571240"/>
            <wp:effectExtent l="19050" t="0" r="0" b="0"/>
            <wp:docPr id="4" name="Рисунок 4" descr="ГОСТ Р 50571.7.702-2013/МЭК 60364-7-702:2010 Электроустановки низковольтные. Часть 7. Требования к специальным установкам или местам их размещения. Раздел 702. Плавательные бассейны и фонтаны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СТ Р 50571.7.702-2013/МЭК 60364-7-702:2010 Электроустановки низковольтные. Часть 7. Требования к специальным установкам или местам их размещения. Раздел 702. Плавательные бассейны и фонтаны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513" w:rsidRDefault="000F6513" w:rsidP="000F6513">
      <w:pPr>
        <w:pStyle w:val="formattext"/>
        <w:spacing w:after="240" w:afterAutospacing="0"/>
        <w:jc w:val="center"/>
      </w:pPr>
      <w:r>
        <w:br/>
        <w:t>Рисунок 702.4 - Пример определения зон фонтана (вид сбоку)</w:t>
      </w:r>
    </w:p>
    <w:p w:rsidR="000F6513" w:rsidRDefault="000F6513" w:rsidP="000F6513">
      <w:pPr>
        <w:pStyle w:val="2"/>
      </w:pPr>
      <w:r>
        <w:t>Приложение ДА (справочное). Сведения о соответствии ссылочных международных стандартов ссылочным национальным стандартам Российской Федерации (и действующим в этом качестве межгосударственным стандартам)</w:t>
      </w:r>
    </w:p>
    <w:p w:rsidR="000F6513" w:rsidRDefault="000F6513" w:rsidP="000F6513">
      <w:pPr>
        <w:pStyle w:val="formattext"/>
        <w:jc w:val="center"/>
      </w:pPr>
      <w:r>
        <w:t>Приложение ДА</w:t>
      </w:r>
      <w:r>
        <w:br/>
        <w:t>(справочное)</w:t>
      </w:r>
    </w:p>
    <w:p w:rsidR="000F6513" w:rsidRDefault="000F6513" w:rsidP="000F6513">
      <w:pPr>
        <w:pStyle w:val="formattext"/>
      </w:pPr>
      <w:r>
        <w:t>Таблица ДА.1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8"/>
        <w:gridCol w:w="1760"/>
        <w:gridCol w:w="5197"/>
      </w:tblGrid>
      <w:tr w:rsidR="000F6513" w:rsidTr="000F6513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0F6513" w:rsidRDefault="000F6513">
            <w:pPr>
              <w:rPr>
                <w:sz w:val="2"/>
                <w:szCs w:val="24"/>
              </w:rPr>
            </w:pPr>
          </w:p>
        </w:tc>
        <w:tc>
          <w:tcPr>
            <w:tcW w:w="1848" w:type="dxa"/>
            <w:vAlign w:val="center"/>
            <w:hideMark/>
          </w:tcPr>
          <w:p w:rsidR="000F6513" w:rsidRDefault="000F6513">
            <w:pPr>
              <w:rPr>
                <w:sz w:val="2"/>
                <w:szCs w:val="24"/>
              </w:rPr>
            </w:pPr>
          </w:p>
        </w:tc>
        <w:tc>
          <w:tcPr>
            <w:tcW w:w="6653" w:type="dxa"/>
            <w:vAlign w:val="center"/>
            <w:hideMark/>
          </w:tcPr>
          <w:p w:rsidR="000F6513" w:rsidRDefault="000F6513">
            <w:pPr>
              <w:rPr>
                <w:sz w:val="2"/>
                <w:szCs w:val="24"/>
              </w:rPr>
            </w:pPr>
          </w:p>
        </w:tc>
      </w:tr>
      <w:tr w:rsidR="000F6513" w:rsidTr="000F6513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Обозначение ссылочных международных стандартов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Степень соответствия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Обозначение и наименование соответствующих национальных стандартов</w:t>
            </w:r>
          </w:p>
        </w:tc>
      </w:tr>
      <w:tr w:rsidR="000F6513" w:rsidTr="000F6513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60245 (все части)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IDT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ГОСТ IEC 60245-2011 (все части) "Кабели с резиновой изоляцией на номинальное напряжение до 450/750</w:t>
            </w:r>
            <w:proofErr w:type="gramStart"/>
            <w:r>
              <w:t xml:space="preserve"> В</w:t>
            </w:r>
            <w:proofErr w:type="gramEnd"/>
            <w:r>
              <w:t xml:space="preserve"> включительно"</w:t>
            </w:r>
          </w:p>
        </w:tc>
      </w:tr>
      <w:tr w:rsidR="000F6513" w:rsidTr="000F6513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60335-2-41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IDT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hyperlink r:id="rId13" w:history="1">
              <w:r>
                <w:rPr>
                  <w:rStyle w:val="a3"/>
                  <w:rFonts w:eastAsiaTheme="majorEastAsia"/>
                </w:rPr>
                <w:t xml:space="preserve">ГОСТ </w:t>
              </w:r>
              <w:proofErr w:type="gramStart"/>
              <w:r>
                <w:rPr>
                  <w:rStyle w:val="a3"/>
                  <w:rFonts w:eastAsiaTheme="majorEastAsia"/>
                </w:rPr>
                <w:t>Р</w:t>
              </w:r>
              <w:proofErr w:type="gramEnd"/>
              <w:r>
                <w:rPr>
                  <w:rStyle w:val="a3"/>
                  <w:rFonts w:eastAsiaTheme="majorEastAsia"/>
                </w:rPr>
                <w:t xml:space="preserve"> МЭК 60335-2-41-98 "Безопасность бытовых и аналогичных электрических приборов. Дополнительные требования к насосам и методы испытаний"</w:t>
              </w:r>
            </w:hyperlink>
          </w:p>
        </w:tc>
      </w:tr>
      <w:tr w:rsidR="000F6513" w:rsidTr="000F6513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60364-1:2005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MOD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hyperlink r:id="rId14" w:history="1">
              <w:r>
                <w:rPr>
                  <w:rStyle w:val="a3"/>
                  <w:rFonts w:eastAsiaTheme="majorEastAsia"/>
                </w:rPr>
                <w:t xml:space="preserve">ГОСТ </w:t>
              </w:r>
              <w:proofErr w:type="gramStart"/>
              <w:r>
                <w:rPr>
                  <w:rStyle w:val="a3"/>
                  <w:rFonts w:eastAsiaTheme="majorEastAsia"/>
                </w:rPr>
                <w:t>Р</w:t>
              </w:r>
              <w:proofErr w:type="gramEnd"/>
              <w:r>
                <w:rPr>
                  <w:rStyle w:val="a3"/>
                  <w:rFonts w:eastAsiaTheme="majorEastAsia"/>
                </w:rPr>
                <w:t xml:space="preserve"> 50571.1-2009</w:t>
              </w:r>
            </w:hyperlink>
            <w:r>
              <w:t xml:space="preserve"> (МЭК 60364-1:2005) "Электроустановки низковольтные. Часть 1. Основные положения, оценка общих характеристик, термины и определения"</w:t>
            </w:r>
          </w:p>
        </w:tc>
      </w:tr>
      <w:tr w:rsidR="000F6513" w:rsidTr="000F6513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lastRenderedPageBreak/>
              <w:t>МЭК 60364-4-41:2005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IDT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hyperlink r:id="rId15" w:history="1">
              <w:r>
                <w:rPr>
                  <w:rStyle w:val="a3"/>
                  <w:rFonts w:eastAsiaTheme="majorEastAsia"/>
                </w:rPr>
                <w:t xml:space="preserve">ГОСТ </w:t>
              </w:r>
              <w:proofErr w:type="gramStart"/>
              <w:r>
                <w:rPr>
                  <w:rStyle w:val="a3"/>
                  <w:rFonts w:eastAsiaTheme="majorEastAsia"/>
                </w:rPr>
                <w:t>Р</w:t>
              </w:r>
              <w:proofErr w:type="gramEnd"/>
              <w:r>
                <w:rPr>
                  <w:rStyle w:val="a3"/>
                  <w:rFonts w:eastAsiaTheme="majorEastAsia"/>
                </w:rPr>
                <w:t xml:space="preserve"> 50571.3-2009</w:t>
              </w:r>
            </w:hyperlink>
            <w:r>
              <w:t xml:space="preserve"> (МЭК 60364-4-41:2005) "Электроустановки низковольтные. Требования для обеспечения безопасности. Защита от поражения электрическим током"</w:t>
            </w:r>
          </w:p>
        </w:tc>
      </w:tr>
      <w:tr w:rsidR="000F6513" w:rsidTr="000F6513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60364-5-51:2001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IDT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hyperlink r:id="rId16" w:history="1">
              <w:r>
                <w:rPr>
                  <w:rStyle w:val="a3"/>
                  <w:rFonts w:eastAsiaTheme="majorEastAsia"/>
                </w:rPr>
                <w:t xml:space="preserve">ГОСТ </w:t>
              </w:r>
              <w:proofErr w:type="gramStart"/>
              <w:r>
                <w:rPr>
                  <w:rStyle w:val="a3"/>
                  <w:rFonts w:eastAsiaTheme="majorEastAsia"/>
                </w:rPr>
                <w:t>Р</w:t>
              </w:r>
              <w:proofErr w:type="gramEnd"/>
              <w:r>
                <w:rPr>
                  <w:rStyle w:val="a3"/>
                  <w:rFonts w:eastAsiaTheme="majorEastAsia"/>
                </w:rPr>
                <w:t xml:space="preserve"> 50571.5.51-2013/МЭК 60364-5-51-2005</w:t>
              </w:r>
            </w:hyperlink>
            <w:r>
              <w:t xml:space="preserve"> "Электроустановки низковольтные. Часть 5-51. Выбор и монтаж электрооборудования. Глава 1. Общие требования"</w:t>
            </w:r>
          </w:p>
        </w:tc>
      </w:tr>
      <w:tr w:rsidR="000F6513" w:rsidTr="000F6513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60364-5-52:2009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IDT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hyperlink r:id="rId17" w:history="1">
              <w:r>
                <w:rPr>
                  <w:rStyle w:val="a3"/>
                  <w:rFonts w:eastAsiaTheme="majorEastAsia"/>
                </w:rPr>
                <w:t xml:space="preserve">ГОСТ </w:t>
              </w:r>
              <w:proofErr w:type="gramStart"/>
              <w:r>
                <w:rPr>
                  <w:rStyle w:val="a3"/>
                  <w:rFonts w:eastAsiaTheme="majorEastAsia"/>
                </w:rPr>
                <w:t>Р</w:t>
              </w:r>
              <w:proofErr w:type="gramEnd"/>
              <w:r>
                <w:rPr>
                  <w:rStyle w:val="a3"/>
                  <w:rFonts w:eastAsiaTheme="majorEastAsia"/>
                </w:rPr>
                <w:t xml:space="preserve"> 50571.5.52-2011/МЭК 60364-5-52:2009</w:t>
              </w:r>
            </w:hyperlink>
            <w:r>
              <w:t xml:space="preserve"> "Электроустановки низковольтные. Часть 5-52. Выбор и монтаж электрооборудования. Электропроводки"</w:t>
            </w:r>
          </w:p>
        </w:tc>
      </w:tr>
      <w:tr w:rsidR="000F6513" w:rsidTr="000F6513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60364-5-53:2002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IDT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50571-5-53-2013/МЭК 60364-5-52:2002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ГОСТ Р 50571.7.702-2013/МЭК 60364-7-702:2010 Электроустановки низковольтные. Часть 7. Требования к специальным установкам или местам их размещения. Раздел 702. Плавательные бассейны и фонтаны" style="width:8.15pt;height:15.6pt"/>
              </w:pict>
            </w:r>
            <w:r>
              <w:t xml:space="preserve"> "Электроустановки низковольтные. Часть 5-53. Выбор и монтаж электрооборудования. Отделение, коммутация и управление"</w:t>
            </w:r>
          </w:p>
        </w:tc>
      </w:tr>
      <w:tr w:rsidR="000F6513" w:rsidTr="000F6513">
        <w:trPr>
          <w:tblCellSpacing w:w="15" w:type="dxa"/>
        </w:trPr>
        <w:tc>
          <w:tcPr>
            <w:tcW w:w="1127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______________</w:t>
            </w:r>
            <w:r>
              <w:br/>
            </w:r>
            <w:r>
              <w:pict>
                <v:shape id="_x0000_i1030" type="#_x0000_t75" alt="ГОСТ Р 50571.7.702-2013/МЭК 60364-7-702:2010 Электроустановки низковольтные. Часть 7. Требования к специальным установкам или местам их размещения. Раздел 702. Плавательные бассейны и фонтаны" style="width:8.15pt;height:15.6pt"/>
              </w:pict>
            </w:r>
            <w:r>
              <w:t xml:space="preserve">Вероятно ошибка оригинала. Следует читать: </w:t>
            </w:r>
            <w:hyperlink r:id="rId18" w:history="1">
              <w:r>
                <w:rPr>
                  <w:rStyle w:val="a3"/>
                  <w:rFonts w:eastAsiaTheme="majorEastAsia"/>
                </w:rPr>
                <w:t xml:space="preserve">ГОСТ </w:t>
              </w:r>
              <w:proofErr w:type="gramStart"/>
              <w:r>
                <w:rPr>
                  <w:rStyle w:val="a3"/>
                  <w:rFonts w:eastAsiaTheme="majorEastAsia"/>
                </w:rPr>
                <w:t>Р</w:t>
              </w:r>
              <w:proofErr w:type="gramEnd"/>
              <w:r>
                <w:rPr>
                  <w:rStyle w:val="a3"/>
                  <w:rFonts w:eastAsiaTheme="majorEastAsia"/>
                </w:rPr>
                <w:t xml:space="preserve"> 50571.5.53-2013/МЭК 60364-5-53:2002</w:t>
              </w:r>
            </w:hyperlink>
            <w:r>
              <w:t>. - Примечание изготовителя базы данных.</w:t>
            </w:r>
          </w:p>
        </w:tc>
      </w:tr>
      <w:tr w:rsidR="000F6513" w:rsidTr="000F6513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60365-5-55:2008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MOD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hyperlink r:id="rId19" w:history="1">
              <w:r>
                <w:rPr>
                  <w:rStyle w:val="a3"/>
                  <w:rFonts w:eastAsiaTheme="majorEastAsia"/>
                </w:rPr>
                <w:t xml:space="preserve">ГОСТ </w:t>
              </w:r>
              <w:proofErr w:type="gramStart"/>
              <w:r>
                <w:rPr>
                  <w:rStyle w:val="a3"/>
                  <w:rFonts w:eastAsiaTheme="majorEastAsia"/>
                </w:rPr>
                <w:t>Р</w:t>
              </w:r>
              <w:proofErr w:type="gramEnd"/>
              <w:r>
                <w:rPr>
                  <w:rStyle w:val="a3"/>
                  <w:rFonts w:eastAsiaTheme="majorEastAsia"/>
                </w:rPr>
                <w:t xml:space="preserve"> 50571.29-2009</w:t>
              </w:r>
            </w:hyperlink>
            <w:r>
              <w:t xml:space="preserve"> (МЭК 60364-5-55:2008) "Электрические установки зданий. Часть 5-55. Выбор и монтаж электрооборудования. Прочее оборудование"</w:t>
            </w:r>
          </w:p>
        </w:tc>
      </w:tr>
      <w:tr w:rsidR="000F6513" w:rsidTr="000F6513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60529:1989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NEQ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hyperlink r:id="rId20" w:history="1">
              <w:r>
                <w:rPr>
                  <w:rStyle w:val="a3"/>
                  <w:rFonts w:eastAsiaTheme="majorEastAsia"/>
                </w:rPr>
                <w:t>ГОСТ 14254-96</w:t>
              </w:r>
            </w:hyperlink>
            <w:r>
              <w:t xml:space="preserve"> (МЭК 529-89) "Степени защиты, обеспечиваемые оболочками (код IP)"</w:t>
            </w:r>
          </w:p>
        </w:tc>
      </w:tr>
      <w:tr w:rsidR="000F6513" w:rsidTr="000F6513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60598-2-18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IDT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hyperlink r:id="rId21" w:history="1">
              <w:r>
                <w:rPr>
                  <w:rStyle w:val="a3"/>
                  <w:rFonts w:eastAsiaTheme="majorEastAsia"/>
                </w:rPr>
                <w:t>ГОСТ IEC 60598-2-18-2011</w:t>
              </w:r>
            </w:hyperlink>
            <w:r>
              <w:t xml:space="preserve"> "Светильники. Часть 2. Частные требования. Раздел 18. Светильники для плавательных бассейнов и аналогичного применения"</w:t>
            </w:r>
          </w:p>
        </w:tc>
      </w:tr>
      <w:tr w:rsidR="000F6513" w:rsidTr="000F6513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61386-1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  <w:jc w:val="center"/>
            </w:pPr>
            <w:r>
              <w:t>*</w:t>
            </w:r>
          </w:p>
        </w:tc>
      </w:tr>
      <w:tr w:rsidR="000F6513" w:rsidTr="000F6513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* Соответствующий стандарт отсутствует.</w:t>
            </w:r>
            <w:r>
              <w:br/>
            </w:r>
            <w:r>
              <w:br/>
              <w:t>Примечание - В настоящей таблице использованы следующие условные обозначения степени соответствия стандартов:</w:t>
            </w:r>
            <w:r>
              <w:br/>
            </w:r>
            <w:r>
              <w:br/>
              <w:t>IDT - идентичные стандарты;</w:t>
            </w:r>
            <w:r>
              <w:br/>
            </w:r>
            <w:r>
              <w:br/>
              <w:t>MOD - модифицированные стандарты;</w:t>
            </w:r>
            <w:r>
              <w:br/>
            </w:r>
            <w:r>
              <w:br/>
              <w:t>NEQ - неэквивалентные стандарты.</w:t>
            </w:r>
          </w:p>
        </w:tc>
      </w:tr>
    </w:tbl>
    <w:p w:rsidR="000F6513" w:rsidRDefault="000F6513" w:rsidP="000F6513">
      <w:pPr>
        <w:pStyle w:val="formattext"/>
        <w:jc w:val="center"/>
      </w:pPr>
    </w:p>
    <w:p w:rsidR="000F6513" w:rsidRDefault="000F6513" w:rsidP="000F6513">
      <w:pPr>
        <w:pStyle w:val="2"/>
      </w:pPr>
      <w:r>
        <w:t>Библиография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460"/>
        <w:gridCol w:w="6418"/>
      </w:tblGrid>
      <w:tr w:rsidR="000F6513" w:rsidTr="000F6513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0F6513" w:rsidRDefault="000F6513">
            <w:pPr>
              <w:rPr>
                <w:sz w:val="2"/>
                <w:szCs w:val="24"/>
              </w:rPr>
            </w:pPr>
          </w:p>
        </w:tc>
        <w:tc>
          <w:tcPr>
            <w:tcW w:w="2957" w:type="dxa"/>
            <w:vAlign w:val="center"/>
            <w:hideMark/>
          </w:tcPr>
          <w:p w:rsidR="000F6513" w:rsidRDefault="000F6513">
            <w:pPr>
              <w:rPr>
                <w:sz w:val="2"/>
                <w:szCs w:val="24"/>
              </w:rPr>
            </w:pPr>
          </w:p>
        </w:tc>
        <w:tc>
          <w:tcPr>
            <w:tcW w:w="7762" w:type="dxa"/>
            <w:vAlign w:val="center"/>
            <w:hideMark/>
          </w:tcPr>
          <w:p w:rsidR="000F6513" w:rsidRDefault="000F6513">
            <w:pPr>
              <w:rPr>
                <w:sz w:val="2"/>
                <w:szCs w:val="24"/>
              </w:rPr>
            </w:pPr>
          </w:p>
        </w:tc>
      </w:tr>
      <w:tr w:rsidR="000F6513" w:rsidTr="000F6513">
        <w:trPr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[1]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60364-1:2005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 xml:space="preserve">Электрические низковольтные установки зданий. Часть 1. Основные принципы, оценка общих характеристик, </w:t>
            </w:r>
            <w:r>
              <w:lastRenderedPageBreak/>
              <w:t>определения</w:t>
            </w:r>
          </w:p>
        </w:tc>
      </w:tr>
      <w:tr w:rsidR="000F6513" w:rsidTr="000F6513">
        <w:trPr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lastRenderedPageBreak/>
              <w:t>[2]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60364-5-51:2005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Электрические установки зданий. Часть 5-51. Выбор и монтаж электрооборудования. Общие правила</w:t>
            </w:r>
          </w:p>
        </w:tc>
      </w:tr>
      <w:tr w:rsidR="000F6513" w:rsidTr="000F6513">
        <w:trPr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[3]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60364-5-52:2009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Электрические установки зданий. Часть 5-52. Выбор и установка электрооборудования. Электропроводки</w:t>
            </w:r>
          </w:p>
        </w:tc>
      </w:tr>
      <w:tr w:rsidR="000F6513" w:rsidTr="000F6513">
        <w:trPr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[4]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60245-4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Кабели с резиновой изоляцией на номинальное напряжение до 450/750</w:t>
            </w:r>
            <w:proofErr w:type="gramStart"/>
            <w:r>
              <w:t xml:space="preserve"> В</w:t>
            </w:r>
            <w:proofErr w:type="gramEnd"/>
            <w:r>
              <w:t xml:space="preserve"> включительно. Часть 4. Шнуры и гибкие кабели</w:t>
            </w:r>
          </w:p>
        </w:tc>
      </w:tr>
      <w:tr w:rsidR="000F6513" w:rsidTr="000F6513">
        <w:trPr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[5]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60364-5-53:2002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Электрические установки зданий. Часть 5-53. Выбор и установка электрооборудования. Изоляция, коммутационная аппаратура и механизмы управления</w:t>
            </w:r>
          </w:p>
        </w:tc>
      </w:tr>
      <w:tr w:rsidR="000F6513" w:rsidTr="000F6513">
        <w:trPr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[6]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60364-5-55:2008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Электрические установки зданий. Часть 5-55. Выбор и монтаж электрооборудования. Прочее оборудование</w:t>
            </w:r>
          </w:p>
        </w:tc>
      </w:tr>
      <w:tr w:rsidR="000F6513" w:rsidTr="000F6513">
        <w:trPr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[7]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>МЭК 60364-7-753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0F6513" w:rsidRDefault="000F6513">
            <w:pPr>
              <w:pStyle w:val="formattext"/>
            </w:pPr>
            <w:r>
              <w:t xml:space="preserve">Электрические установки зданий. Часть 7-753. Требования к специальным установкам или помещениям. Половые и потолочные системы обогрева </w:t>
            </w:r>
          </w:p>
        </w:tc>
      </w:tr>
    </w:tbl>
    <w:p w:rsidR="000F6513" w:rsidRDefault="000F6513" w:rsidP="000F6513">
      <w:pPr>
        <w:pStyle w:val="formattext"/>
      </w:pPr>
      <w:r>
        <w:br/>
      </w:r>
      <w:r>
        <w:br/>
        <w:t>_________________________________________________________________________________</w:t>
      </w:r>
      <w:r>
        <w:br/>
        <w:t>УДК 621.316.542:006.354 ОКС 29.020 Е71 ОКП 34 6400</w:t>
      </w:r>
      <w:r>
        <w:br/>
        <w:t>91.140.50</w:t>
      </w:r>
      <w:r>
        <w:br/>
      </w:r>
      <w:r>
        <w:br/>
        <w:t>Ключевые слова: низковольтные электроустановки, плавательные бассейны, фонтаны, лягушатники, защита от поражения электрическим током</w:t>
      </w:r>
      <w:r>
        <w:br/>
        <w:t>_________________________________________________________________________________</w:t>
      </w:r>
      <w:r>
        <w:br/>
      </w:r>
      <w:r>
        <w:br/>
      </w:r>
      <w:r>
        <w:br/>
      </w:r>
      <w:r>
        <w:br/>
        <w:t>Электронный текст документа</w:t>
      </w:r>
      <w:r>
        <w:br/>
        <w:t>подготовлен АО "Кодекс" и сверен по:</w:t>
      </w:r>
      <w:r>
        <w:br/>
        <w:t>официальное издание</w:t>
      </w:r>
      <w:r>
        <w:br/>
        <w:t xml:space="preserve">М.: </w:t>
      </w:r>
      <w:proofErr w:type="spellStart"/>
      <w:r>
        <w:t>Стандартинформ</w:t>
      </w:r>
      <w:proofErr w:type="spellEnd"/>
      <w:r>
        <w:t xml:space="preserve">, 2014 </w:t>
      </w:r>
    </w:p>
    <w:p w:rsidR="000F6513" w:rsidRDefault="000F6513"/>
    <w:sectPr w:rsidR="000F6513" w:rsidSect="00C5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6513"/>
    <w:rsid w:val="00023F01"/>
    <w:rsid w:val="0005392A"/>
    <w:rsid w:val="000637CA"/>
    <w:rsid w:val="00083A70"/>
    <w:rsid w:val="00093440"/>
    <w:rsid w:val="000A166A"/>
    <w:rsid w:val="000B1C9A"/>
    <w:rsid w:val="000B5E66"/>
    <w:rsid w:val="000D7503"/>
    <w:rsid w:val="000E2485"/>
    <w:rsid w:val="000E62FC"/>
    <w:rsid w:val="000F0E9F"/>
    <w:rsid w:val="000F6513"/>
    <w:rsid w:val="0014175E"/>
    <w:rsid w:val="00166A1D"/>
    <w:rsid w:val="00185B5A"/>
    <w:rsid w:val="001927A7"/>
    <w:rsid w:val="00197720"/>
    <w:rsid w:val="001A08FA"/>
    <w:rsid w:val="001B409C"/>
    <w:rsid w:val="001B7E85"/>
    <w:rsid w:val="001C65F2"/>
    <w:rsid w:val="001D120E"/>
    <w:rsid w:val="001D330B"/>
    <w:rsid w:val="00241B8E"/>
    <w:rsid w:val="00260379"/>
    <w:rsid w:val="002675D6"/>
    <w:rsid w:val="00267D38"/>
    <w:rsid w:val="00276E33"/>
    <w:rsid w:val="00290163"/>
    <w:rsid w:val="002A7D47"/>
    <w:rsid w:val="002D3C7A"/>
    <w:rsid w:val="002E5C05"/>
    <w:rsid w:val="00313702"/>
    <w:rsid w:val="00365A39"/>
    <w:rsid w:val="00397886"/>
    <w:rsid w:val="003D5E11"/>
    <w:rsid w:val="00413303"/>
    <w:rsid w:val="00451915"/>
    <w:rsid w:val="004940B6"/>
    <w:rsid w:val="004968CD"/>
    <w:rsid w:val="004F298B"/>
    <w:rsid w:val="00552F80"/>
    <w:rsid w:val="00557B88"/>
    <w:rsid w:val="00564B45"/>
    <w:rsid w:val="005A11A2"/>
    <w:rsid w:val="005A3FEA"/>
    <w:rsid w:val="005B0F84"/>
    <w:rsid w:val="005B1DCE"/>
    <w:rsid w:val="005E1DD8"/>
    <w:rsid w:val="005E2C54"/>
    <w:rsid w:val="005E505C"/>
    <w:rsid w:val="005E52AC"/>
    <w:rsid w:val="006001E3"/>
    <w:rsid w:val="00603252"/>
    <w:rsid w:val="00653640"/>
    <w:rsid w:val="00655810"/>
    <w:rsid w:val="006679E2"/>
    <w:rsid w:val="00691DA6"/>
    <w:rsid w:val="00696321"/>
    <w:rsid w:val="00707D53"/>
    <w:rsid w:val="00747BE4"/>
    <w:rsid w:val="0075557A"/>
    <w:rsid w:val="007A03ED"/>
    <w:rsid w:val="007B7B8C"/>
    <w:rsid w:val="007E799E"/>
    <w:rsid w:val="00806403"/>
    <w:rsid w:val="00806AD8"/>
    <w:rsid w:val="00820178"/>
    <w:rsid w:val="00820736"/>
    <w:rsid w:val="008564BA"/>
    <w:rsid w:val="00876DB2"/>
    <w:rsid w:val="00885CA7"/>
    <w:rsid w:val="008A6BA3"/>
    <w:rsid w:val="008E5CA7"/>
    <w:rsid w:val="008E6986"/>
    <w:rsid w:val="00900876"/>
    <w:rsid w:val="0090342C"/>
    <w:rsid w:val="009436C0"/>
    <w:rsid w:val="00957129"/>
    <w:rsid w:val="009B6924"/>
    <w:rsid w:val="009B7460"/>
    <w:rsid w:val="009C3215"/>
    <w:rsid w:val="009C7985"/>
    <w:rsid w:val="009D2054"/>
    <w:rsid w:val="009E5EB1"/>
    <w:rsid w:val="009F3940"/>
    <w:rsid w:val="009F4E8C"/>
    <w:rsid w:val="00A0364D"/>
    <w:rsid w:val="00A23299"/>
    <w:rsid w:val="00A51F9C"/>
    <w:rsid w:val="00A5630E"/>
    <w:rsid w:val="00A869A7"/>
    <w:rsid w:val="00A97294"/>
    <w:rsid w:val="00AA2D72"/>
    <w:rsid w:val="00AB1A3F"/>
    <w:rsid w:val="00AB2987"/>
    <w:rsid w:val="00B87281"/>
    <w:rsid w:val="00BC7F00"/>
    <w:rsid w:val="00C0143E"/>
    <w:rsid w:val="00C04986"/>
    <w:rsid w:val="00C07511"/>
    <w:rsid w:val="00C109E8"/>
    <w:rsid w:val="00C1482E"/>
    <w:rsid w:val="00C15270"/>
    <w:rsid w:val="00C57C5A"/>
    <w:rsid w:val="00C8072E"/>
    <w:rsid w:val="00C86EEA"/>
    <w:rsid w:val="00CA1ABF"/>
    <w:rsid w:val="00CB60F8"/>
    <w:rsid w:val="00CE5F62"/>
    <w:rsid w:val="00CF1967"/>
    <w:rsid w:val="00CF3A61"/>
    <w:rsid w:val="00CF6F9D"/>
    <w:rsid w:val="00D10C30"/>
    <w:rsid w:val="00D46D71"/>
    <w:rsid w:val="00DA3246"/>
    <w:rsid w:val="00DC32C4"/>
    <w:rsid w:val="00E32794"/>
    <w:rsid w:val="00E6137C"/>
    <w:rsid w:val="00EF34E2"/>
    <w:rsid w:val="00F105C4"/>
    <w:rsid w:val="00F46220"/>
    <w:rsid w:val="00F62FF6"/>
    <w:rsid w:val="00F7634F"/>
    <w:rsid w:val="00F9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5A"/>
  </w:style>
  <w:style w:type="paragraph" w:styleId="1">
    <w:name w:val="heading 1"/>
    <w:basedOn w:val="a"/>
    <w:link w:val="10"/>
    <w:uiPriority w:val="9"/>
    <w:qFormat/>
    <w:rsid w:val="000F6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5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5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65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F65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0F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F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F6513"/>
    <w:rPr>
      <w:color w:val="0000FF"/>
      <w:u w:val="single"/>
    </w:rPr>
  </w:style>
  <w:style w:type="paragraph" w:customStyle="1" w:styleId="topleveltext">
    <w:name w:val="topleveltext"/>
    <w:basedOn w:val="a"/>
    <w:rsid w:val="000F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ocs.cntd.ru/document/1200027203" TargetMode="External"/><Relationship Id="rId18" Type="http://schemas.openxmlformats.org/officeDocument/2006/relationships/hyperlink" Target="http://docs.cntd.ru/document/12001052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1200095400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://docs.cntd.ru/document/12000926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1200108792" TargetMode="External"/><Relationship Id="rId20" Type="http://schemas.openxmlformats.org/officeDocument/2006/relationships/hyperlink" Target="http://docs.cntd.ru/document/120000502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1200102193" TargetMode="External"/><Relationship Id="rId11" Type="http://schemas.openxmlformats.org/officeDocument/2006/relationships/hyperlink" Target="http://docs.cntd.ru/picture/get?id=P00D3&amp;doc_id=1200108285" TargetMode="External"/><Relationship Id="rId5" Type="http://schemas.openxmlformats.org/officeDocument/2006/relationships/hyperlink" Target="http://docs.cntd.ru/document/902249298" TargetMode="External"/><Relationship Id="rId15" Type="http://schemas.openxmlformats.org/officeDocument/2006/relationships/hyperlink" Target="http://docs.cntd.ru/document/1200082275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docs.cntd.ru/document/1200072903" TargetMode="External"/><Relationship Id="rId4" Type="http://schemas.openxmlformats.org/officeDocument/2006/relationships/hyperlink" Target="http://docs.cntd.ru/document/499077707" TargetMode="External"/><Relationship Id="rId9" Type="http://schemas.openxmlformats.org/officeDocument/2006/relationships/hyperlink" Target="http://docs.cntd.ru/picture/get?id=P00CC&amp;doc_id=1200108285" TargetMode="External"/><Relationship Id="rId14" Type="http://schemas.openxmlformats.org/officeDocument/2006/relationships/hyperlink" Target="http://docs.cntd.ru/document/120007389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21</Pages>
  <Words>5104</Words>
  <Characters>29093</Characters>
  <Application>Microsoft Office Word</Application>
  <DocSecurity>0</DocSecurity>
  <Lines>242</Lines>
  <Paragraphs>68</Paragraphs>
  <ScaleCrop>false</ScaleCrop>
  <Company/>
  <LinksUpToDate>false</LinksUpToDate>
  <CharactersWithSpaces>34129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2018-10-18T12:15:00Z</dcterms:created>
  <dcterms:modified xsi:type="dcterms:W3CDTF">2018-10-18T12:28:00Z</dcterms:modified>
</cp:coreProperties>
</file>